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26867" w14:textId="77777777" w:rsidR="00D26533" w:rsidRPr="00A447DB" w:rsidRDefault="00D26533" w:rsidP="00D26533">
      <w:pPr>
        <w:spacing w:before="120" w:after="240" w:line="360" w:lineRule="auto"/>
        <w:rPr>
          <w:b/>
          <w:smallCaps/>
          <w:sz w:val="28"/>
        </w:rPr>
      </w:pPr>
      <w:r w:rsidRPr="00A447DB">
        <w:rPr>
          <w:b/>
          <w:smallCaps/>
          <w:sz w:val="28"/>
        </w:rPr>
        <w:t xml:space="preserve">Catastrophe Models </w:t>
      </w:r>
      <w:r>
        <w:rPr>
          <w:b/>
          <w:smallCaps/>
          <w:sz w:val="28"/>
        </w:rPr>
        <w:t xml:space="preserve">and </w:t>
      </w:r>
      <w:r w:rsidRPr="00A447DB">
        <w:rPr>
          <w:b/>
          <w:smallCaps/>
          <w:sz w:val="28"/>
        </w:rPr>
        <w:t xml:space="preserve">Insurance Decision Making </w:t>
      </w:r>
      <w:r>
        <w:rPr>
          <w:b/>
          <w:smallCaps/>
          <w:sz w:val="28"/>
        </w:rPr>
        <w:t>Under Ambiguity</w:t>
      </w:r>
      <w:r w:rsidRPr="00A447DB">
        <w:rPr>
          <w:b/>
          <w:smallCaps/>
          <w:sz w:val="28"/>
        </w:rPr>
        <w:t xml:space="preserve"> </w:t>
      </w:r>
    </w:p>
    <w:p w14:paraId="050CBA63" w14:textId="51CA9DD4" w:rsidR="00B874C9" w:rsidRDefault="00B874C9" w:rsidP="004F4B8F">
      <w:pPr>
        <w:autoSpaceDE w:val="0"/>
        <w:autoSpaceDN w:val="0"/>
        <w:adjustRightInd w:val="0"/>
        <w:spacing w:before="120" w:after="240" w:line="360" w:lineRule="auto"/>
        <w:rPr>
          <w:rFonts w:cstheme="minorHAnsi"/>
        </w:rPr>
      </w:pPr>
    </w:p>
    <w:p w14:paraId="56761280" w14:textId="77777777" w:rsidR="0025753C" w:rsidRDefault="000A597C" w:rsidP="004F4B8F">
      <w:pPr>
        <w:autoSpaceDE w:val="0"/>
        <w:autoSpaceDN w:val="0"/>
        <w:adjustRightInd w:val="0"/>
        <w:spacing w:before="120" w:after="240" w:line="360" w:lineRule="auto"/>
        <w:rPr>
          <w:rFonts w:cstheme="minorHAnsi"/>
          <w:b/>
        </w:rPr>
      </w:pPr>
      <w:r>
        <w:rPr>
          <w:rFonts w:cstheme="minorHAnsi"/>
          <w:b/>
        </w:rPr>
        <w:t>Abstract</w:t>
      </w:r>
    </w:p>
    <w:p w14:paraId="417A9A9B" w14:textId="3724F327" w:rsidR="008068E9" w:rsidRDefault="00FC081C" w:rsidP="004F4B8F">
      <w:pPr>
        <w:autoSpaceDE w:val="0"/>
        <w:autoSpaceDN w:val="0"/>
        <w:adjustRightInd w:val="0"/>
        <w:spacing w:before="120" w:after="240" w:line="360" w:lineRule="auto"/>
        <w:rPr>
          <w:rFonts w:cstheme="minorHAnsi"/>
          <w:bCs/>
        </w:rPr>
      </w:pPr>
      <w:r>
        <w:rPr>
          <w:rFonts w:cstheme="minorHAnsi"/>
          <w:bCs/>
        </w:rPr>
        <w:t>Insurers draw on sophisticated models of natural hazards to provide</w:t>
      </w:r>
      <w:r w:rsidR="00187895">
        <w:rPr>
          <w:rFonts w:cstheme="minorHAnsi"/>
          <w:bCs/>
        </w:rPr>
        <w:t xml:space="preserve"> </w:t>
      </w:r>
      <w:r>
        <w:rPr>
          <w:rFonts w:cstheme="minorHAnsi"/>
          <w:bCs/>
        </w:rPr>
        <w:t xml:space="preserve">probability distributions for possible </w:t>
      </w:r>
      <w:r w:rsidR="005E76CB">
        <w:rPr>
          <w:rFonts w:cstheme="minorHAnsi"/>
          <w:bCs/>
        </w:rPr>
        <w:t>catastrophic events</w:t>
      </w:r>
      <w:r>
        <w:rPr>
          <w:rFonts w:cstheme="minorHAnsi"/>
          <w:bCs/>
        </w:rPr>
        <w:t xml:space="preserve"> and associated losses</w:t>
      </w:r>
      <w:r w:rsidR="005E76CB">
        <w:rPr>
          <w:rFonts w:cstheme="minorHAnsi"/>
          <w:bCs/>
        </w:rPr>
        <w:t xml:space="preserve"> </w:t>
      </w:r>
      <w:proofErr w:type="gramStart"/>
      <w:r w:rsidR="005E76CB">
        <w:rPr>
          <w:rFonts w:cstheme="minorHAnsi"/>
          <w:bCs/>
        </w:rPr>
        <w:t>in order to</w:t>
      </w:r>
      <w:proofErr w:type="gramEnd"/>
      <w:r w:rsidR="005E76CB">
        <w:rPr>
          <w:rFonts w:cstheme="minorHAnsi"/>
          <w:bCs/>
        </w:rPr>
        <w:t xml:space="preserve"> </w:t>
      </w:r>
      <w:r w:rsidR="00863EAF">
        <w:rPr>
          <w:rFonts w:cstheme="minorHAnsi"/>
          <w:bCs/>
        </w:rPr>
        <w:t>pric</w:t>
      </w:r>
      <w:r w:rsidR="00F02BD3">
        <w:rPr>
          <w:rFonts w:cstheme="minorHAnsi"/>
          <w:bCs/>
        </w:rPr>
        <w:t>e</w:t>
      </w:r>
      <w:r w:rsidR="00863EAF">
        <w:rPr>
          <w:rFonts w:cstheme="minorHAnsi"/>
          <w:bCs/>
        </w:rPr>
        <w:t xml:space="preserve"> catastrophe insurance</w:t>
      </w:r>
      <w:r w:rsidR="005E76CB">
        <w:rPr>
          <w:rFonts w:cstheme="minorHAnsi"/>
          <w:bCs/>
        </w:rPr>
        <w:t xml:space="preserve">. </w:t>
      </w:r>
      <w:r w:rsidR="00DA7CF4">
        <w:rPr>
          <w:rFonts w:cstheme="minorHAnsi"/>
          <w:bCs/>
        </w:rPr>
        <w:t>But</w:t>
      </w:r>
      <w:r w:rsidR="004B776C">
        <w:rPr>
          <w:rFonts w:cstheme="minorHAnsi"/>
          <w:bCs/>
        </w:rPr>
        <w:t xml:space="preserve"> </w:t>
      </w:r>
      <w:r w:rsidR="00BF24DB">
        <w:rPr>
          <w:rFonts w:cstheme="minorHAnsi"/>
          <w:bCs/>
        </w:rPr>
        <w:t>prevailing</w:t>
      </w:r>
      <w:r w:rsidR="00F70BD5">
        <w:rPr>
          <w:rFonts w:cstheme="minorHAnsi"/>
          <w:bCs/>
        </w:rPr>
        <w:t xml:space="preserve"> pricing methods don’t factor in the uncertainty around model-based projections </w:t>
      </w:r>
      <w:r w:rsidR="00824D73">
        <w:rPr>
          <w:rFonts w:cstheme="minorHAnsi"/>
          <w:bCs/>
        </w:rPr>
        <w:t>that derive</w:t>
      </w:r>
      <w:r w:rsidR="00F70BD5">
        <w:rPr>
          <w:rFonts w:cstheme="minorHAnsi"/>
          <w:bCs/>
        </w:rPr>
        <w:t xml:space="preserve"> from the </w:t>
      </w:r>
      <w:r w:rsidR="00497EE5">
        <w:rPr>
          <w:rFonts w:cstheme="minorHAnsi"/>
          <w:bCs/>
        </w:rPr>
        <w:t>relative paucity of data about extreme events</w:t>
      </w:r>
      <w:r w:rsidR="00F70BD5">
        <w:rPr>
          <w:rFonts w:cstheme="minorHAnsi"/>
          <w:bCs/>
        </w:rPr>
        <w:t>. T</w:t>
      </w:r>
      <w:r w:rsidR="00B23B43">
        <w:rPr>
          <w:rFonts w:cstheme="minorHAnsi"/>
          <w:bCs/>
        </w:rPr>
        <w:t>h</w:t>
      </w:r>
      <w:r w:rsidR="00F70BD5">
        <w:rPr>
          <w:rFonts w:cstheme="minorHAnsi"/>
          <w:bCs/>
        </w:rPr>
        <w:t xml:space="preserve">is paper proposes a pricing method that is responsive the </w:t>
      </w:r>
      <w:r w:rsidR="00D906D2">
        <w:rPr>
          <w:rFonts w:cstheme="minorHAnsi"/>
          <w:bCs/>
        </w:rPr>
        <w:t xml:space="preserve">consequent </w:t>
      </w:r>
      <w:r w:rsidR="00F70BD5">
        <w:rPr>
          <w:rFonts w:cstheme="minorHAnsi"/>
          <w:bCs/>
        </w:rPr>
        <w:t>ambiguity faced by the insurer</w:t>
      </w:r>
      <w:r w:rsidR="00B23B43">
        <w:rPr>
          <w:rFonts w:cstheme="minorHAnsi"/>
          <w:bCs/>
        </w:rPr>
        <w:t xml:space="preserve">. Its centrepiece is the use of </w:t>
      </w:r>
      <w:r w:rsidR="00824D73">
        <w:rPr>
          <w:rFonts w:cstheme="minorHAnsi"/>
          <w:bCs/>
        </w:rPr>
        <w:t xml:space="preserve">a </w:t>
      </w:r>
      <w:r w:rsidR="00FF103E">
        <w:rPr>
          <w:rFonts w:cstheme="minorHAnsi"/>
          <w:bCs/>
        </w:rPr>
        <w:t xml:space="preserve">confidence grading of sets of probability distributions and </w:t>
      </w:r>
      <w:r w:rsidR="00824D73">
        <w:rPr>
          <w:rFonts w:cstheme="minorHAnsi"/>
          <w:bCs/>
        </w:rPr>
        <w:t xml:space="preserve">a </w:t>
      </w:r>
      <w:r w:rsidR="00FF103E">
        <w:rPr>
          <w:rFonts w:cstheme="minorHAnsi"/>
          <w:bCs/>
        </w:rPr>
        <w:t>cautiousness index for the insurer to determine the set of probability distributions t</w:t>
      </w:r>
      <w:r w:rsidR="0003528F">
        <w:rPr>
          <w:rFonts w:cstheme="minorHAnsi"/>
          <w:bCs/>
        </w:rPr>
        <w:t xml:space="preserve">o </w:t>
      </w:r>
      <w:r w:rsidR="00FF103E">
        <w:rPr>
          <w:rFonts w:cstheme="minorHAnsi"/>
          <w:bCs/>
        </w:rPr>
        <w:t>serve as the input to a decision rule for ambiguity.</w:t>
      </w:r>
    </w:p>
    <w:p w14:paraId="1F90FD81" w14:textId="77777777" w:rsidR="005B2557" w:rsidRDefault="005B2557" w:rsidP="004F4B8F">
      <w:pPr>
        <w:autoSpaceDE w:val="0"/>
        <w:autoSpaceDN w:val="0"/>
        <w:adjustRightInd w:val="0"/>
        <w:spacing w:before="120" w:after="240" w:line="360" w:lineRule="auto"/>
        <w:rPr>
          <w:rFonts w:cstheme="minorHAnsi"/>
          <w:bCs/>
        </w:rPr>
      </w:pPr>
    </w:p>
    <w:p w14:paraId="14A5192F" w14:textId="41099564" w:rsidR="005B2557" w:rsidRDefault="005B2557" w:rsidP="005B2557">
      <w:pPr>
        <w:autoSpaceDE w:val="0"/>
        <w:autoSpaceDN w:val="0"/>
        <w:adjustRightInd w:val="0"/>
        <w:spacing w:before="120" w:after="240" w:line="360" w:lineRule="auto"/>
        <w:rPr>
          <w:rFonts w:cstheme="minorHAnsi"/>
          <w:b/>
        </w:rPr>
      </w:pPr>
      <w:r>
        <w:rPr>
          <w:rFonts w:cstheme="minorHAnsi"/>
          <w:b/>
        </w:rPr>
        <w:t>Key words</w:t>
      </w:r>
    </w:p>
    <w:p w14:paraId="2365C523" w14:textId="14CB0B1E" w:rsidR="008068E9" w:rsidRPr="00C539CE" w:rsidRDefault="005B2557" w:rsidP="004F4B8F">
      <w:pPr>
        <w:autoSpaceDE w:val="0"/>
        <w:autoSpaceDN w:val="0"/>
        <w:adjustRightInd w:val="0"/>
        <w:spacing w:before="120" w:after="240" w:line="360" w:lineRule="auto"/>
        <w:rPr>
          <w:rFonts w:cstheme="minorHAnsi"/>
          <w:bCs/>
        </w:rPr>
      </w:pPr>
      <w:r w:rsidRPr="00C539CE">
        <w:rPr>
          <w:rFonts w:cstheme="minorHAnsi"/>
          <w:bCs/>
        </w:rPr>
        <w:t>Catastrophe models, ambiguity, insurance decisions, pricing</w:t>
      </w:r>
      <w:r w:rsidR="00C539CE" w:rsidRPr="00C539CE">
        <w:rPr>
          <w:rFonts w:cstheme="minorHAnsi"/>
          <w:bCs/>
        </w:rPr>
        <w:t>, co</w:t>
      </w:r>
      <w:r w:rsidR="00C539CE">
        <w:rPr>
          <w:rFonts w:cstheme="minorHAnsi"/>
          <w:bCs/>
        </w:rPr>
        <w:t>nfidence, capital reserves</w:t>
      </w:r>
    </w:p>
    <w:p w14:paraId="73C06664" w14:textId="77777777" w:rsidR="005B2557" w:rsidRPr="00C539CE" w:rsidRDefault="005B2557" w:rsidP="004F4B8F">
      <w:pPr>
        <w:autoSpaceDE w:val="0"/>
        <w:autoSpaceDN w:val="0"/>
        <w:adjustRightInd w:val="0"/>
        <w:spacing w:before="120" w:after="240" w:line="360" w:lineRule="auto"/>
        <w:rPr>
          <w:rFonts w:cstheme="minorHAnsi"/>
          <w:bCs/>
        </w:rPr>
      </w:pPr>
    </w:p>
    <w:p w14:paraId="05E14264" w14:textId="77777777" w:rsidR="00597B07" w:rsidRDefault="00597B07">
      <w:pPr>
        <w:rPr>
          <w:rFonts w:cstheme="minorHAnsi"/>
          <w:b/>
        </w:rPr>
      </w:pPr>
      <w:r>
        <w:rPr>
          <w:rFonts w:cstheme="minorHAnsi"/>
          <w:b/>
        </w:rPr>
        <w:br w:type="page"/>
      </w:r>
    </w:p>
    <w:p w14:paraId="54570A35" w14:textId="3406D9E0" w:rsidR="00B874C9" w:rsidRPr="00BB2F66" w:rsidRDefault="006E5085" w:rsidP="004F4B8F">
      <w:pPr>
        <w:autoSpaceDE w:val="0"/>
        <w:autoSpaceDN w:val="0"/>
        <w:adjustRightInd w:val="0"/>
        <w:spacing w:before="120" w:after="240" w:line="360" w:lineRule="auto"/>
        <w:rPr>
          <w:rFonts w:cstheme="minorHAnsi"/>
          <w:b/>
        </w:rPr>
      </w:pPr>
      <w:r>
        <w:rPr>
          <w:rFonts w:cstheme="minorHAnsi"/>
          <w:b/>
        </w:rPr>
        <w:lastRenderedPageBreak/>
        <w:t>In</w:t>
      </w:r>
      <w:r w:rsidR="00160165">
        <w:rPr>
          <w:rFonts w:cstheme="minorHAnsi"/>
          <w:b/>
        </w:rPr>
        <w:t>troduction</w:t>
      </w:r>
    </w:p>
    <w:p w14:paraId="16B47FC2" w14:textId="37FE7C16" w:rsidR="00973A2F" w:rsidRDefault="00770F60" w:rsidP="004F4B8F">
      <w:pPr>
        <w:spacing w:before="120" w:after="120" w:line="360" w:lineRule="auto"/>
      </w:pPr>
      <w:r>
        <w:t xml:space="preserve">Catastrophe </w:t>
      </w:r>
      <w:r w:rsidR="00792AFE">
        <w:t xml:space="preserve">(cat) </w:t>
      </w:r>
      <w:r>
        <w:t xml:space="preserve">models are </w:t>
      </w:r>
      <w:r w:rsidR="002816BB">
        <w:t xml:space="preserve">increasingly </w:t>
      </w:r>
      <w:r>
        <w:t>used by insurers and reinsurers to make crucial decisions about what policies to offer customers and how to price them. Three will be of particular concern here:</w:t>
      </w:r>
    </w:p>
    <w:p w14:paraId="2595F5C4" w14:textId="2103EE6B" w:rsidR="00770F60" w:rsidRDefault="00770F60" w:rsidP="004F4B8F">
      <w:pPr>
        <w:pStyle w:val="ListParagraph"/>
        <w:numPr>
          <w:ilvl w:val="0"/>
          <w:numId w:val="2"/>
        </w:numPr>
        <w:spacing w:before="120" w:after="120" w:line="360" w:lineRule="auto"/>
        <w:ind w:firstLine="0"/>
      </w:pPr>
      <w:r>
        <w:t>What pri</w:t>
      </w:r>
      <w:r w:rsidR="000C5B72">
        <w:t>ce to put on different policies,</w:t>
      </w:r>
    </w:p>
    <w:p w14:paraId="05023434" w14:textId="3FAAA642" w:rsidR="00770F60" w:rsidRDefault="000C5B72" w:rsidP="004F4B8F">
      <w:pPr>
        <w:pStyle w:val="ListParagraph"/>
        <w:numPr>
          <w:ilvl w:val="0"/>
          <w:numId w:val="2"/>
        </w:numPr>
        <w:spacing w:before="120" w:after="240" w:line="360" w:lineRule="auto"/>
        <w:ind w:firstLine="0"/>
      </w:pPr>
      <w:r>
        <w:t>What capital reserves to hold,</w:t>
      </w:r>
    </w:p>
    <w:p w14:paraId="73421EB7" w14:textId="4FCFEA99" w:rsidR="002816BB" w:rsidRDefault="00770F60" w:rsidP="004F4B8F">
      <w:pPr>
        <w:pStyle w:val="ListParagraph"/>
        <w:numPr>
          <w:ilvl w:val="0"/>
          <w:numId w:val="2"/>
        </w:numPr>
        <w:spacing w:before="120" w:after="240" w:line="360" w:lineRule="auto"/>
        <w:ind w:firstLine="0"/>
      </w:pPr>
      <w:r>
        <w:t xml:space="preserve">How much exposure to accept to any </w:t>
      </w:r>
      <w:proofErr w:type="gramStart"/>
      <w:r>
        <w:t>particular hazardous</w:t>
      </w:r>
      <w:proofErr w:type="gramEnd"/>
      <w:r>
        <w:t xml:space="preserve"> event.</w:t>
      </w:r>
    </w:p>
    <w:p w14:paraId="33EE40FD" w14:textId="56BFE1A4" w:rsidR="002241C9" w:rsidRDefault="001B5490" w:rsidP="004F4B8F">
      <w:pPr>
        <w:spacing w:before="120" w:after="240" w:line="360" w:lineRule="auto"/>
      </w:pPr>
      <w:r>
        <w:t xml:space="preserve">Although the use of cat models has greatly increased the ability of insurers to give precise answers </w:t>
      </w:r>
      <w:r w:rsidR="007241D2">
        <w:t xml:space="preserve">to these questions, doubts remain as to whether the models capture all relevant uncertainty. </w:t>
      </w:r>
      <w:r w:rsidR="00792AFE">
        <w:t xml:space="preserve">When they don’t, insurers face ambiguity and standard techniques for producing answers </w:t>
      </w:r>
      <w:r w:rsidR="00D473FF">
        <w:t xml:space="preserve">to them </w:t>
      </w:r>
      <w:r w:rsidR="00792AFE">
        <w:t xml:space="preserve">cannot be applied. </w:t>
      </w:r>
      <w:r w:rsidR="007241D2">
        <w:t xml:space="preserve">In this note I will propose a way of embedding models within a framework for decision-making </w:t>
      </w:r>
      <w:r w:rsidR="00792AFE">
        <w:t xml:space="preserve">under ambiguity </w:t>
      </w:r>
      <w:r w:rsidR="007241D2">
        <w:t>that overcomes this problem</w:t>
      </w:r>
      <w:r w:rsidR="00611F99">
        <w:t xml:space="preserve">. </w:t>
      </w:r>
    </w:p>
    <w:p w14:paraId="525D627C" w14:textId="5710E6DF" w:rsidR="005B4C92" w:rsidRPr="00005B30" w:rsidRDefault="00770F60" w:rsidP="004F4B8F">
      <w:pPr>
        <w:spacing w:before="120" w:after="240" w:line="360" w:lineRule="auto"/>
        <w:rPr>
          <w:rFonts w:eastAsiaTheme="minorEastAsia"/>
        </w:rPr>
      </w:pPr>
      <w:r>
        <w:t>Standard theory</w:t>
      </w:r>
      <w:r w:rsidR="004E0D37">
        <w:t xml:space="preserve"> treats insurers as attempting to maximise profit subject to a survival constraint (Stone 1973). To spell it out more formally </w:t>
      </w:r>
      <w:r w:rsidR="00230BC1">
        <w:t>what this entails,</w:t>
      </w:r>
      <w:r w:rsidR="004E0D37">
        <w:t xml:space="preserve"> consider a state space consisting of all possible states of the world relevant to the performance of the insurer’s book</w:t>
      </w:r>
      <w:r w:rsidR="00230BC1">
        <w:t>.</w:t>
      </w:r>
      <w:r w:rsidR="00767347">
        <w:rPr>
          <w:rStyle w:val="FootnoteReference"/>
        </w:rPr>
        <w:footnoteReference w:id="2"/>
      </w:r>
      <w:r w:rsidR="00230BC1">
        <w:t xml:space="preserve"> The book </w:t>
      </w:r>
      <w:r w:rsidR="004E0D37">
        <w:t xml:space="preserve">can then be viewed </w:t>
      </w:r>
      <w:r w:rsidR="00230BC1">
        <w:t xml:space="preserve">simply </w:t>
      </w:r>
      <w:r w:rsidR="004E0D37">
        <w:t xml:space="preserve">as a </w:t>
      </w:r>
      <w:r w:rsidR="00230BC1">
        <w:t>mapping from each state to a monetary gain or loss</w:t>
      </w:r>
      <w:r w:rsidR="00585585">
        <w:t xml:space="preserve">, determined by the difference </w:t>
      </w:r>
      <w:r w:rsidR="0087716A">
        <w:t xml:space="preserve">in that state </w:t>
      </w:r>
      <w:r w:rsidR="00585585">
        <w:t>between the premiums collected</w:t>
      </w:r>
      <w:r w:rsidR="00005B30">
        <w:t xml:space="preserve"> and the claims paid out plus</w:t>
      </w:r>
      <w:r w:rsidR="0087716A">
        <w:t xml:space="preserve"> other costs</w:t>
      </w:r>
      <w:r w:rsidR="00230BC1">
        <w:t xml:space="preserve">. To calculate an expected return on the book, the insurer draws on a probability measure </w:t>
      </w:r>
      <w:r w:rsidR="00B5513C" w:rsidRPr="00681AB2">
        <w:rPr>
          <w:i/>
        </w:rPr>
        <w:t>P</w:t>
      </w:r>
      <w:r w:rsidR="00B5513C">
        <w:t xml:space="preserve"> </w:t>
      </w:r>
      <w:r w:rsidR="00230BC1">
        <w:t xml:space="preserve">defined on a </w:t>
      </w:r>
      <w:r w:rsidR="00B5513C">
        <w:rPr>
          <w:rFonts w:cstheme="minorHAnsi"/>
        </w:rPr>
        <w:t xml:space="preserve">Boolean </w:t>
      </w:r>
      <w:r w:rsidR="00230BC1">
        <w:t>algebra of payoff-</w:t>
      </w:r>
      <w:r w:rsidR="00681AB2">
        <w:t>relevant events</w:t>
      </w:r>
      <w:r w:rsidR="00B838FE">
        <w:t xml:space="preserve">. </w:t>
      </w:r>
      <w:r w:rsidR="001E5AED">
        <w:t xml:space="preserve">For any book </w:t>
      </w:r>
      <w:r w:rsidR="001E5AED" w:rsidRPr="00681AB2">
        <w:rPr>
          <w:i/>
        </w:rPr>
        <w:t>b</w:t>
      </w:r>
      <w:r w:rsidR="001E5AED">
        <w:t xml:space="preserve">, let us denote by </w:t>
      </w:r>
      <w:r w:rsidR="001E5AED" w:rsidRPr="00A02115">
        <w:rPr>
          <w:i/>
          <w:iCs/>
        </w:rPr>
        <w:t>x</w:t>
      </w:r>
      <w:r w:rsidR="001E5AED">
        <w:t xml:space="preserve"> the event of </w:t>
      </w:r>
      <w:r w:rsidR="001E5AED" w:rsidRPr="001E5AED">
        <w:rPr>
          <w:i/>
        </w:rPr>
        <w:t>b</w:t>
      </w:r>
      <w:r w:rsidR="001E5AED">
        <w:t xml:space="preserve"> paying out</w:t>
      </w:r>
      <w:r w:rsidR="001E5AED" w:rsidRPr="000A03FC">
        <w:rPr>
          <w:i/>
          <w:iCs/>
        </w:rPr>
        <w:t xml:space="preserve"> x</w:t>
      </w:r>
      <w:r w:rsidR="001E5AED">
        <w:t xml:space="preserve"> </w:t>
      </w:r>
      <w:r w:rsidR="001E5AED">
        <w:lastRenderedPageBreak/>
        <w:t>currency units to settle claims and</w:t>
      </w:r>
      <w:r w:rsidR="00476E86">
        <w:t xml:space="preserve"> let </w:t>
      </w:r>
      <m:oMath>
        <m:sSub>
          <m:sSubPr>
            <m:ctrlPr>
              <w:rPr>
                <w:rFonts w:ascii="Cambria Math" w:hAnsi="Cambria Math"/>
                <w:i/>
              </w:rPr>
            </m:ctrlPr>
          </m:sSubPr>
          <m:e>
            <m:r>
              <w:rPr>
                <w:rFonts w:ascii="Cambria Math" w:hAnsi="Cambria Math"/>
              </w:rPr>
              <m:t>μ</m:t>
            </m:r>
          </m:e>
          <m:sub>
            <m:r>
              <w:rPr>
                <w:rFonts w:ascii="Cambria Math" w:hAnsi="Cambria Math"/>
              </w:rPr>
              <m:t>b</m:t>
            </m:r>
          </m:sub>
        </m:sSub>
      </m:oMath>
      <w:r w:rsidR="00476E86">
        <w:rPr>
          <w:rFonts w:eastAsiaTheme="minorEastAsia"/>
        </w:rPr>
        <w:t xml:space="preserve"> be </w:t>
      </w:r>
      <w:r w:rsidR="001E5AED">
        <w:rPr>
          <w:rFonts w:eastAsiaTheme="minorEastAsia"/>
        </w:rPr>
        <w:t>expected pay-out of the book. Now we</w:t>
      </w:r>
      <w:r w:rsidR="00B838FE">
        <w:t xml:space="preserve"> can </w:t>
      </w:r>
      <w:r w:rsidR="00B5513C">
        <w:t>define a</w:t>
      </w:r>
      <w:r w:rsidR="001E5AED">
        <w:t>n associated</w:t>
      </w:r>
      <w:r w:rsidR="00B5513C">
        <w:t xml:space="preserve"> probability measure </w:t>
      </w:r>
      <m:oMath>
        <m:sSub>
          <m:sSubPr>
            <m:ctrlPr>
              <w:rPr>
                <w:rFonts w:ascii="Cambria Math" w:hAnsi="Cambria Math"/>
                <w:i/>
              </w:rPr>
            </m:ctrlPr>
          </m:sSubPr>
          <m:e>
            <m:r>
              <w:rPr>
                <w:rFonts w:ascii="Cambria Math" w:hAnsi="Cambria Math"/>
              </w:rPr>
              <m:t>P</m:t>
            </m:r>
          </m:e>
          <m:sub>
            <m:r>
              <w:rPr>
                <w:rFonts w:ascii="Cambria Math" w:hAnsi="Cambria Math"/>
              </w:rPr>
              <m:t>b</m:t>
            </m:r>
          </m:sub>
        </m:sSub>
      </m:oMath>
      <w:r w:rsidR="00B5513C">
        <w:t xml:space="preserve"> on the Borel </w:t>
      </w:r>
      <w:r w:rsidR="00B5513C">
        <w:rPr>
          <w:rFonts w:cstheme="minorHAnsi"/>
        </w:rPr>
        <w:t>σ</w:t>
      </w:r>
      <w:r w:rsidR="00024E1B">
        <w:t xml:space="preserve">-algebra of </w:t>
      </w:r>
      <w:r w:rsidR="001E5AED">
        <w:t xml:space="preserve">pay-out events </w:t>
      </w:r>
      <w:r w:rsidR="005B4C92">
        <w:t>by:</w:t>
      </w:r>
    </w:p>
    <w:p w14:paraId="63981745" w14:textId="77777777" w:rsidR="0056376C" w:rsidRPr="00AE217A" w:rsidRDefault="00F67410" w:rsidP="004F4B8F">
      <w:pPr>
        <w:spacing w:before="120" w:after="240" w:line="360" w:lineRule="auto"/>
        <w:rPr>
          <w:rFonts w:eastAsiaTheme="minorEastAsia"/>
        </w:rPr>
      </w:pPr>
      <m:oMathPara>
        <m:oMathParaPr>
          <m:jc m:val="center"/>
        </m:oMathParaPr>
        <m:oMath>
          <m:sSub>
            <m:sSubPr>
              <m:ctrlPr>
                <w:rPr>
                  <w:rFonts w:ascii="Cambria Math" w:hAnsi="Cambria Math"/>
                  <w:i/>
                </w:rPr>
              </m:ctrlPr>
            </m:sSubPr>
            <m:e>
              <m:r>
                <w:rPr>
                  <w:rFonts w:ascii="Cambria Math" w:hAnsi="Cambria Math"/>
                </w:rPr>
                <m:t>P</m:t>
              </m:r>
            </m:e>
            <m:sub>
              <m:r>
                <w:rPr>
                  <w:rFonts w:ascii="Cambria Math" w:hAnsi="Cambria Math"/>
                </w:rPr>
                <m:t>b</m:t>
              </m:r>
            </m:sub>
          </m:sSub>
          <m:d>
            <m:dPr>
              <m:ctrlPr>
                <w:rPr>
                  <w:rFonts w:ascii="Cambria Math" w:hAnsi="Cambria Math"/>
                  <w:i/>
                </w:rPr>
              </m:ctrlPr>
            </m:dPr>
            <m:e>
              <m:r>
                <w:rPr>
                  <w:rFonts w:ascii="Cambria Math" w:hAnsi="Cambria Math"/>
                </w:rPr>
                <m:t>x</m:t>
              </m:r>
            </m:e>
          </m:d>
          <m:r>
            <w:rPr>
              <w:rFonts w:ascii="Cambria Math" w:hAnsi="Cambria Math"/>
            </w:rPr>
            <m:t>=P</m:t>
          </m:r>
          <m:d>
            <m:dPr>
              <m:ctrlPr>
                <w:rPr>
                  <w:rFonts w:ascii="Cambria Math" w:hAnsi="Cambria Math"/>
                  <w:i/>
                </w:rPr>
              </m:ctrlPr>
            </m:dPr>
            <m:e>
              <m:sSup>
                <m:sSupPr>
                  <m:ctrlPr>
                    <w:rPr>
                      <w:rFonts w:ascii="Cambria Math" w:hAnsi="Cambria Math"/>
                      <w:i/>
                    </w:rPr>
                  </m:ctrlPr>
                </m:sSupPr>
                <m:e>
                  <m:r>
                    <w:rPr>
                      <w:rFonts w:ascii="Cambria Math" w:hAnsi="Cambria Math"/>
                    </w:rPr>
                    <m:t>b</m:t>
                  </m:r>
                </m:e>
                <m:sup>
                  <m:r>
                    <w:rPr>
                      <w:rFonts w:ascii="Cambria Math" w:hAnsi="Cambria Math"/>
                    </w:rPr>
                    <m:t>-1</m:t>
                  </m:r>
                </m:sup>
              </m:sSup>
              <m:d>
                <m:dPr>
                  <m:ctrlPr>
                    <w:rPr>
                      <w:rFonts w:ascii="Cambria Math" w:hAnsi="Cambria Math"/>
                      <w:i/>
                    </w:rPr>
                  </m:ctrlPr>
                </m:dPr>
                <m:e>
                  <m:r>
                    <w:rPr>
                      <w:rFonts w:ascii="Cambria Math" w:hAnsi="Cambria Math"/>
                    </w:rPr>
                    <m:t>x</m:t>
                  </m:r>
                </m:e>
              </m:d>
            </m:e>
          </m:d>
        </m:oMath>
      </m:oMathPara>
    </w:p>
    <w:p w14:paraId="5CC1A54E" w14:textId="77777777" w:rsidR="00770F60" w:rsidRDefault="0061458F" w:rsidP="004F4B8F">
      <w:pPr>
        <w:spacing w:before="120" w:after="240" w:line="360" w:lineRule="auto"/>
        <w:rPr>
          <w:rFonts w:eastAsiaTheme="minorEastAsia"/>
        </w:rPr>
      </w:pPr>
      <w:r>
        <w:t>Let</w:t>
      </w:r>
      <w:r w:rsidR="005B4C92">
        <w:t xml:space="preserve"> the probability of </w:t>
      </w:r>
      <w:r>
        <w:t>the</w:t>
      </w:r>
      <w:r w:rsidR="005B4C92">
        <w:t xml:space="preserve"> book </w:t>
      </w:r>
      <w:r w:rsidR="00681AB2" w:rsidRPr="00681AB2">
        <w:rPr>
          <w:i/>
        </w:rPr>
        <w:t>b</w:t>
      </w:r>
      <w:r w:rsidR="00230BC1">
        <w:t xml:space="preserve"> </w:t>
      </w:r>
      <w:r w:rsidR="00476E86">
        <w:t>paying out</w:t>
      </w:r>
      <w:r>
        <w:t xml:space="preserve"> </w:t>
      </w:r>
      <w:r w:rsidR="00476E86">
        <w:t>more than</w:t>
      </w:r>
      <w:r>
        <w:t xml:space="preserve"> </w:t>
      </w:r>
      <w:r w:rsidRPr="000A03FC">
        <w:rPr>
          <w:i/>
          <w:iCs/>
        </w:rPr>
        <w:t>x</w:t>
      </w:r>
      <w:r>
        <w:t xml:space="preserve"> be denoted </w:t>
      </w:r>
      <w:r w:rsidR="005B4C92">
        <w:t xml:space="preserve">by </w:t>
      </w:r>
      <m:oMath>
        <m:sSub>
          <m:sSubPr>
            <m:ctrlPr>
              <w:rPr>
                <w:rFonts w:ascii="Cambria Math" w:hAnsi="Cambria Math"/>
                <w:i/>
              </w:rPr>
            </m:ctrlPr>
          </m:sSubPr>
          <m:e>
            <m:r>
              <w:rPr>
                <w:rFonts w:ascii="Cambria Math" w:hAnsi="Cambria Math"/>
              </w:rPr>
              <m:t>P</m:t>
            </m:r>
          </m:e>
          <m:sub>
            <m:r>
              <w:rPr>
                <w:rFonts w:ascii="Cambria Math" w:hAnsi="Cambria Math"/>
              </w:rPr>
              <m:t>b</m:t>
            </m:r>
          </m:sub>
        </m:sSub>
        <m:r>
          <w:rPr>
            <w:rFonts w:ascii="Cambria Math" w:hAnsi="Cambria Math"/>
          </w:rPr>
          <m:t>(&gt;x)</m:t>
        </m:r>
      </m:oMath>
      <w:r w:rsidR="001E5AED">
        <w:rPr>
          <w:rFonts w:eastAsiaTheme="minorEastAsia"/>
        </w:rPr>
        <w:t xml:space="preserve">, a </w:t>
      </w:r>
      <w:r w:rsidR="00476E86">
        <w:t>measure</w:t>
      </w:r>
      <w:r w:rsidR="00CE7276">
        <w:t xml:space="preserve"> known as the exceedance probabilit</w:t>
      </w:r>
      <w:r w:rsidR="001E5AED">
        <w:t>y</w:t>
      </w:r>
      <w:r w:rsidR="00CE7276">
        <w:t xml:space="preserve"> for </w:t>
      </w:r>
      <w:r w:rsidR="007309AF">
        <w:t xml:space="preserve">the </w:t>
      </w:r>
      <w:r w:rsidR="00CE7276">
        <w:t xml:space="preserve">book </w:t>
      </w:r>
      <w:r w:rsidR="00CE7276" w:rsidRPr="00CE7276">
        <w:rPr>
          <w:i/>
        </w:rPr>
        <w:t>b</w:t>
      </w:r>
      <w:r w:rsidR="001E5AED">
        <w:t xml:space="preserve"> for </w:t>
      </w:r>
      <w:r w:rsidR="001E5AED" w:rsidRPr="000A03FC">
        <w:rPr>
          <w:i/>
          <w:iCs/>
        </w:rPr>
        <w:t>x</w:t>
      </w:r>
      <w:r w:rsidR="001E5AED">
        <w:t xml:space="preserve">. </w:t>
      </w:r>
      <w:r w:rsidR="005B4C92">
        <w:rPr>
          <w:rFonts w:eastAsiaTheme="minorEastAsia"/>
        </w:rPr>
        <w:t>Then standard theory says tha</w:t>
      </w:r>
      <w:r w:rsidR="00024BD5">
        <w:rPr>
          <w:rFonts w:eastAsiaTheme="minorEastAsia"/>
        </w:rPr>
        <w:t xml:space="preserve">t the insurer will, given book </w:t>
      </w:r>
      <w:r w:rsidR="00024BD5" w:rsidRPr="00024BD5">
        <w:rPr>
          <w:rFonts w:eastAsiaTheme="minorEastAsia"/>
          <w:i/>
        </w:rPr>
        <w:t>b</w:t>
      </w:r>
      <w:r w:rsidR="005B4C92">
        <w:rPr>
          <w:rFonts w:eastAsiaTheme="minorEastAsia"/>
        </w:rPr>
        <w:t xml:space="preserve">, set its capital holding </w:t>
      </w:r>
      <m:oMath>
        <m:sSub>
          <m:sSubPr>
            <m:ctrlPr>
              <w:rPr>
                <w:rFonts w:ascii="Cambria Math" w:hAnsi="Cambria Math"/>
                <w:i/>
                <w:caps/>
              </w:rPr>
            </m:ctrlPr>
          </m:sSubPr>
          <m:e>
            <m:r>
              <w:rPr>
                <w:rFonts w:ascii="Cambria Math" w:hAnsi="Cambria Math"/>
                <w:caps/>
              </w:rPr>
              <m:t>Z</m:t>
            </m:r>
          </m:e>
          <m:sub>
            <m:r>
              <w:rPr>
                <w:rFonts w:ascii="Cambria Math" w:hAnsi="Cambria Math"/>
                <w:caps/>
              </w:rPr>
              <m:t>b</m:t>
            </m:r>
          </m:sub>
        </m:sSub>
      </m:oMath>
      <w:r w:rsidR="005B4C92">
        <w:rPr>
          <w:rFonts w:eastAsiaTheme="minorEastAsia"/>
        </w:rPr>
        <w:t xml:space="preserve"> to:</w:t>
      </w:r>
    </w:p>
    <w:p w14:paraId="0BEF891D" w14:textId="77777777" w:rsidR="005B4C92" w:rsidRPr="005B4C92" w:rsidRDefault="00F67410" w:rsidP="004F4B8F">
      <w:pPr>
        <w:spacing w:before="120" w:after="240" w:line="360" w:lineRule="auto"/>
        <w:rPr>
          <w:rFonts w:eastAsiaTheme="minorEastAsia"/>
        </w:rPr>
      </w:pPr>
      <m:oMathPara>
        <m:oMath>
          <m:sSub>
            <m:sSubPr>
              <m:ctrlPr>
                <w:rPr>
                  <w:rFonts w:ascii="Cambria Math" w:hAnsi="Cambria Math"/>
                </w:rPr>
              </m:ctrlPr>
            </m:sSubPr>
            <m:e>
              <m:r>
                <w:rPr>
                  <w:rFonts w:ascii="Cambria Math" w:hAnsi="Cambria Math"/>
                </w:rPr>
                <m:t>Z</m:t>
              </m:r>
            </m:e>
            <m:sub>
              <m:r>
                <w:rPr>
                  <w:rFonts w:ascii="Cambria Math" w:hAnsi="Cambria Math"/>
                </w:rPr>
                <m:t>b</m:t>
              </m:r>
            </m:sub>
          </m:sSub>
          <m:r>
            <m:rPr>
              <m:sty m:val="p"/>
            </m:rPr>
            <w:rPr>
              <w:rFonts w:ascii="Cambria Math" w:hAnsi="Cambria Math"/>
            </w:rPr>
            <m:t>=min⁡{</m:t>
          </m:r>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b</m:t>
              </m:r>
            </m:sub>
          </m:sSub>
          <m:r>
            <m:rPr>
              <m:sty m:val="p"/>
            </m:rPr>
            <w:rPr>
              <w:rFonts w:ascii="Cambria Math" w:hAnsi="Cambria Math"/>
            </w:rPr>
            <m:t>(&gt;</m:t>
          </m:r>
          <m:r>
            <w:rPr>
              <w:rFonts w:ascii="Cambria Math" w:hAnsi="Cambria Math"/>
            </w:rPr>
            <m:t>x</m:t>
          </m:r>
          <m:r>
            <m:rPr>
              <m:sty m:val="p"/>
            </m:rPr>
            <w:rPr>
              <w:rFonts w:ascii="Cambria Math" w:hAnsi="Cambria Math"/>
            </w:rPr>
            <m:t>)≤</m:t>
          </m:r>
          <m:r>
            <w:rPr>
              <w:rFonts w:ascii="Cambria Math" w:hAnsi="Cambria Math"/>
            </w:rPr>
            <m:t>κ</m:t>
          </m:r>
          <m:r>
            <m:rPr>
              <m:sty m:val="p"/>
            </m:rPr>
            <w:rPr>
              <w:rFonts w:ascii="Cambria Math" w:hAnsi="Cambria Math"/>
            </w:rPr>
            <m:t>}</m:t>
          </m:r>
        </m:oMath>
      </m:oMathPara>
    </w:p>
    <w:p w14:paraId="7F6BE6F6" w14:textId="77777777" w:rsidR="005B4C92" w:rsidRDefault="00D52D32" w:rsidP="004F4B8F">
      <w:pPr>
        <w:spacing w:before="120" w:after="240" w:line="360" w:lineRule="auto"/>
      </w:pPr>
      <w:r>
        <w:t>w</w:t>
      </w:r>
      <w:r w:rsidR="005B4C92">
        <w:t xml:space="preserve">here </w:t>
      </w:r>
      <m:oMath>
        <m:r>
          <w:rPr>
            <w:rFonts w:ascii="Cambria Math" w:hAnsi="Cambria Math"/>
          </w:rPr>
          <m:t>κ</m:t>
        </m:r>
      </m:oMath>
      <w:r w:rsidR="00DD4495">
        <w:t xml:space="preserve"> is a benchmark level that depends on the caution o</w:t>
      </w:r>
      <w:r w:rsidR="00302CD8">
        <w:t>r conservatism of the insurer or</w:t>
      </w:r>
      <w:r w:rsidR="00DD4495">
        <w:t xml:space="preserve"> </w:t>
      </w:r>
      <w:proofErr w:type="gramStart"/>
      <w:r w:rsidR="00DD4495">
        <w:t>regulator.</w:t>
      </w:r>
      <w:proofErr w:type="gramEnd"/>
      <w:r w:rsidR="00DD4495">
        <w:t xml:space="preserve"> </w:t>
      </w:r>
      <w:r w:rsidR="00AD7BCD">
        <w:t>Note that this</w:t>
      </w:r>
      <w:r w:rsidR="002A7E6B">
        <w:t xml:space="preserve"> threshold is a probability</w:t>
      </w:r>
      <w:r w:rsidR="009F23F8">
        <w:t xml:space="preserve"> of survival and independent of the absolute losses and benefits at stake</w:t>
      </w:r>
      <w:r w:rsidR="00AD7BCD">
        <w:t xml:space="preserve">, something we return to </w:t>
      </w:r>
      <w:r w:rsidR="009F23F8">
        <w:t>later.</w:t>
      </w:r>
    </w:p>
    <w:p w14:paraId="69886BDE" w14:textId="78FB7C8E" w:rsidR="00402485" w:rsidRDefault="00FE6065" w:rsidP="004F4B8F">
      <w:pPr>
        <w:spacing w:before="120" w:after="240" w:line="360" w:lineRule="auto"/>
        <w:rPr>
          <w:rFonts w:eastAsiaTheme="minorEastAsia"/>
        </w:rPr>
      </w:pPr>
      <w:r>
        <w:t xml:space="preserve">Now suppose that the insurer is considering whether to sell another contract </w:t>
      </w:r>
      <w:r w:rsidRPr="00814005">
        <w:rPr>
          <w:i/>
          <w:iCs/>
        </w:rPr>
        <w:t>c</w:t>
      </w:r>
      <w:r>
        <w:t xml:space="preserve">, a transaction that </w:t>
      </w:r>
      <w:r w:rsidR="00681AB2">
        <w:t xml:space="preserve">will leave her with a book </w:t>
      </w:r>
      <w:proofErr w:type="spellStart"/>
      <w:r w:rsidR="00681AB2" w:rsidRPr="004C39E4">
        <w:rPr>
          <w:i/>
        </w:rPr>
        <w:t>b+c</w:t>
      </w:r>
      <w:proofErr w:type="spellEnd"/>
      <w:r w:rsidR="00681AB2">
        <w:t xml:space="preserve">, </w:t>
      </w:r>
      <w:r>
        <w:t>where this book is defined by</w:t>
      </w:r>
      <w:r w:rsidR="002133EE">
        <w:t>,</w:t>
      </w:r>
      <w:r>
        <w:t xml:space="preserve"> for all states s, </w:t>
      </w:r>
      <w:proofErr w:type="spellStart"/>
      <w:r w:rsidRPr="004C39E4">
        <w:rPr>
          <w:i/>
        </w:rPr>
        <w:t>b+c</w:t>
      </w:r>
      <w:proofErr w:type="spellEnd"/>
      <w:r>
        <w:t xml:space="preserve">(s) = </w:t>
      </w:r>
      <w:r w:rsidRPr="004C39E4">
        <w:rPr>
          <w:i/>
        </w:rPr>
        <w:t>b</w:t>
      </w:r>
      <w:r>
        <w:t xml:space="preserve">(s) + </w:t>
      </w:r>
      <w:r w:rsidRPr="004C39E4">
        <w:rPr>
          <w:i/>
        </w:rPr>
        <w:t>c</w:t>
      </w:r>
      <w:r w:rsidR="00BB7336">
        <w:t>(s)</w:t>
      </w:r>
      <w:r>
        <w:t>.</w:t>
      </w:r>
      <w:r w:rsidR="00700389">
        <w:t xml:space="preserve"> The sale will require an increase in capital holding from </w:t>
      </w:r>
      <m:oMath>
        <m:sSub>
          <m:sSubPr>
            <m:ctrlPr>
              <w:rPr>
                <w:rFonts w:ascii="Cambria Math" w:hAnsi="Cambria Math"/>
              </w:rPr>
            </m:ctrlPr>
          </m:sSubPr>
          <m:e>
            <m:r>
              <w:rPr>
                <w:rFonts w:ascii="Cambria Math" w:hAnsi="Cambria Math"/>
              </w:rPr>
              <m:t>Z</m:t>
            </m:r>
          </m:e>
          <m:sub>
            <m:r>
              <w:rPr>
                <w:rFonts w:ascii="Cambria Math" w:hAnsi="Cambria Math"/>
              </w:rPr>
              <m:t>b</m:t>
            </m:r>
          </m:sub>
        </m:sSub>
      </m:oMath>
      <w:r w:rsidR="00700389">
        <w:rPr>
          <w:rFonts w:eastAsiaTheme="minorEastAsia"/>
        </w:rPr>
        <w:t xml:space="preserve"> to  </w:t>
      </w:r>
      <m:oMath>
        <m:sSub>
          <m:sSubPr>
            <m:ctrlPr>
              <w:rPr>
                <w:rFonts w:ascii="Cambria Math" w:hAnsi="Cambria Math"/>
              </w:rPr>
            </m:ctrlPr>
          </m:sSubPr>
          <m:e>
            <m:r>
              <w:rPr>
                <w:rFonts w:ascii="Cambria Math" w:hAnsi="Cambria Math"/>
              </w:rPr>
              <m:t>Z</m:t>
            </m:r>
          </m:e>
          <m:sub>
            <m:r>
              <w:rPr>
                <w:rFonts w:ascii="Cambria Math" w:hAnsi="Cambria Math"/>
              </w:rPr>
              <m:t>b</m:t>
            </m:r>
            <m:r>
              <m:rPr>
                <m:sty m:val="p"/>
              </m:rPr>
              <w:rPr>
                <w:rFonts w:ascii="Cambria Math" w:hAnsi="Cambria Math"/>
              </w:rPr>
              <m:t>+</m:t>
            </m:r>
            <m:r>
              <w:rPr>
                <w:rFonts w:ascii="Cambria Math" w:hAnsi="Cambria Math"/>
              </w:rPr>
              <m:t>c</m:t>
            </m:r>
          </m:sub>
        </m:sSub>
      </m:oMath>
      <w:r w:rsidR="00700389">
        <w:rPr>
          <w:rFonts w:eastAsiaTheme="minorEastAsia"/>
        </w:rPr>
        <w:t xml:space="preserve">, </w:t>
      </w:r>
      <w:r w:rsidR="00402485">
        <w:rPr>
          <w:rFonts w:eastAsiaTheme="minorEastAsia"/>
        </w:rPr>
        <w:t xml:space="preserve">so if the new contract is </w:t>
      </w:r>
      <w:r w:rsidR="00700389">
        <w:rPr>
          <w:rFonts w:eastAsiaTheme="minorEastAsia"/>
        </w:rPr>
        <w:t>competitively priced then the expected profit from it cannot be less tha</w:t>
      </w:r>
      <w:r w:rsidR="00B76BD7">
        <w:rPr>
          <w:rFonts w:eastAsiaTheme="minorEastAsia"/>
        </w:rPr>
        <w:t>n</w:t>
      </w:r>
      <w:r w:rsidR="00700389">
        <w:rPr>
          <w:rFonts w:eastAsiaTheme="minorEastAsia"/>
        </w:rPr>
        <w:t xml:space="preserve"> the opportunity cost of the additional </w:t>
      </w:r>
      <w:r w:rsidR="00402485">
        <w:rPr>
          <w:rFonts w:eastAsiaTheme="minorEastAsia"/>
        </w:rPr>
        <w:t xml:space="preserve">capital </w:t>
      </w:r>
      <w:r w:rsidR="003E5366">
        <w:rPr>
          <w:rFonts w:eastAsiaTheme="minorEastAsia"/>
        </w:rPr>
        <w:t xml:space="preserve">– denoted by </w:t>
      </w:r>
      <m:oMath>
        <m:r>
          <w:rPr>
            <w:rFonts w:ascii="Cambria Math" w:eastAsiaTheme="minorEastAsia" w:hAnsi="Cambria Math"/>
          </w:rPr>
          <m:t>y</m:t>
        </m:r>
        <m:r>
          <m:rPr>
            <m:sty m:val="p"/>
          </m:rPr>
          <w:rPr>
            <w:rFonts w:ascii="Cambria Math" w:eastAsiaTheme="minorEastAsia" w:hAnsi="Cambria Math"/>
          </w:rPr>
          <m:t>(</m:t>
        </m:r>
        <m:sSub>
          <m:sSubPr>
            <m:ctrlPr>
              <w:rPr>
                <w:rFonts w:ascii="Cambria Math" w:hAnsi="Cambria Math"/>
              </w:rPr>
            </m:ctrlPr>
          </m:sSubPr>
          <m:e>
            <m:r>
              <w:rPr>
                <w:rFonts w:ascii="Cambria Math" w:hAnsi="Cambria Math"/>
              </w:rPr>
              <m:t>Z</m:t>
            </m:r>
          </m:e>
          <m:sub>
            <m:r>
              <w:rPr>
                <w:rFonts w:ascii="Cambria Math" w:hAnsi="Cambria Math"/>
              </w:rPr>
              <m:t>b</m:t>
            </m:r>
          </m:sub>
        </m:sSub>
      </m:oMath>
      <w:r w:rsidR="00681AB2">
        <w:rPr>
          <w:rFonts w:eastAsiaTheme="minorEastAsia"/>
        </w:rPr>
        <w:t xml:space="preserve"> -</w:t>
      </w:r>
      <w:r w:rsidR="003E5366">
        <w:rPr>
          <w:rFonts w:eastAsiaTheme="minorEastAsia"/>
        </w:rPr>
        <w:t xml:space="preserve"> </w:t>
      </w:r>
      <m:oMath>
        <m:sSub>
          <m:sSubPr>
            <m:ctrlPr>
              <w:rPr>
                <w:rFonts w:ascii="Cambria Math" w:hAnsi="Cambria Math"/>
              </w:rPr>
            </m:ctrlPr>
          </m:sSubPr>
          <m:e>
            <m:r>
              <w:rPr>
                <w:rFonts w:ascii="Cambria Math" w:hAnsi="Cambria Math"/>
              </w:rPr>
              <m:t>Z</m:t>
            </m:r>
          </m:e>
          <m:sub>
            <m:r>
              <w:rPr>
                <w:rFonts w:ascii="Cambria Math" w:hAnsi="Cambria Math"/>
              </w:rPr>
              <m:t>b</m:t>
            </m:r>
            <m:r>
              <m:rPr>
                <m:sty m:val="p"/>
              </m:rPr>
              <w:rPr>
                <w:rFonts w:ascii="Cambria Math" w:hAnsi="Cambria Math"/>
              </w:rPr>
              <m:t>+</m:t>
            </m:r>
            <m:r>
              <w:rPr>
                <w:rFonts w:ascii="Cambria Math" w:hAnsi="Cambria Math"/>
              </w:rPr>
              <m:t>c</m:t>
            </m:r>
          </m:sub>
        </m:sSub>
      </m:oMath>
      <w:r w:rsidR="003E5366">
        <w:rPr>
          <w:rFonts w:eastAsiaTheme="minorEastAsia"/>
        </w:rPr>
        <w:t xml:space="preserve">) – </w:t>
      </w:r>
      <w:r w:rsidR="00EF19D8">
        <w:rPr>
          <w:rFonts w:eastAsiaTheme="minorEastAsia"/>
        </w:rPr>
        <w:t xml:space="preserve">required in order to mitigate the risk of ruin. </w:t>
      </w:r>
      <w:r w:rsidR="004A430F">
        <w:rPr>
          <w:rFonts w:eastAsiaTheme="minorEastAsia"/>
        </w:rPr>
        <w:t>Now the</w:t>
      </w:r>
      <w:r w:rsidR="00EF19D8">
        <w:rPr>
          <w:rFonts w:eastAsiaTheme="minorEastAsia"/>
        </w:rPr>
        <w:t xml:space="preserve"> expected profit</w:t>
      </w:r>
      <w:r w:rsidR="004A430F">
        <w:rPr>
          <w:rFonts w:eastAsiaTheme="minorEastAsia"/>
        </w:rPr>
        <w:t xml:space="preserve"> from the sale</w:t>
      </w:r>
      <w:r w:rsidR="00B76BD7">
        <w:rPr>
          <w:rFonts w:eastAsiaTheme="minorEastAsia"/>
        </w:rPr>
        <w:t xml:space="preserve"> of the new contract</w:t>
      </w:r>
      <w:r w:rsidR="00EF19D8">
        <w:rPr>
          <w:rFonts w:eastAsiaTheme="minorEastAsia"/>
        </w:rPr>
        <w:t xml:space="preserve"> is just the difference between </w:t>
      </w:r>
      <w:r w:rsidR="00B76BD7">
        <w:rPr>
          <w:rFonts w:eastAsiaTheme="minorEastAsia"/>
        </w:rPr>
        <w:t>its</w:t>
      </w:r>
      <w:r w:rsidR="00EF19D8">
        <w:rPr>
          <w:rFonts w:eastAsiaTheme="minorEastAsia"/>
        </w:rPr>
        <w:t xml:space="preserve"> price and the expected losses associated with </w:t>
      </w:r>
      <w:r w:rsidR="00B76BD7">
        <w:rPr>
          <w:rFonts w:eastAsiaTheme="minorEastAsia"/>
        </w:rPr>
        <w:t>it</w:t>
      </w:r>
      <w:r w:rsidR="000C5B72">
        <w:rPr>
          <w:rFonts w:eastAsiaTheme="minorEastAsia"/>
        </w:rPr>
        <w:t>:</w:t>
      </w:r>
      <w:r w:rsidR="004A430F">
        <w:rPr>
          <w:rFonts w:eastAsiaTheme="minorEastAsia"/>
        </w:rPr>
        <w:t xml:space="preserve"> </w:t>
      </w:r>
      <m:oMath>
        <m:sSub>
          <m:sSubPr>
            <m:ctrlPr>
              <w:rPr>
                <w:rFonts w:ascii="Cambria Math" w:hAnsi="Cambria Math"/>
              </w:rPr>
            </m:ctrlPr>
          </m:sSubPr>
          <m:e>
            <m:r>
              <w:rPr>
                <w:rFonts w:ascii="Cambria Math" w:hAnsi="Cambria Math"/>
              </w:rPr>
              <m:t>μ</m:t>
            </m:r>
          </m:e>
          <m:sub>
            <m:r>
              <w:rPr>
                <w:rFonts w:ascii="Cambria Math" w:hAnsi="Cambria Math"/>
              </w:rPr>
              <m:t>c</m:t>
            </m:r>
          </m:sub>
        </m:sSub>
        <m:r>
          <m:rPr>
            <m:sty m:val="p"/>
          </m:rPr>
          <w:rPr>
            <w:rFonts w:ascii="Cambria Math" w:eastAsiaTheme="minorEastAsia" w:hAnsi="Cambria Math"/>
          </w:rPr>
          <m:t>=</m:t>
        </m:r>
        <m:sSub>
          <m:sSubPr>
            <m:ctrlPr>
              <w:rPr>
                <w:rFonts w:ascii="Cambria Math" w:hAnsi="Cambria Math"/>
              </w:rPr>
            </m:ctrlPr>
          </m:sSubPr>
          <m:e>
            <m:r>
              <w:rPr>
                <w:rFonts w:ascii="Cambria Math" w:hAnsi="Cambria Math"/>
              </w:rPr>
              <m:t>μ</m:t>
            </m:r>
          </m:e>
          <m:sub>
            <m:r>
              <w:rPr>
                <w:rFonts w:ascii="Cambria Math" w:hAnsi="Cambria Math"/>
              </w:rPr>
              <m:t>b</m:t>
            </m:r>
            <m:r>
              <m:rPr>
                <m:sty m:val="p"/>
              </m:rPr>
              <w:rPr>
                <w:rFonts w:ascii="Cambria Math" w:hAnsi="Cambria Math"/>
              </w:rPr>
              <m:t>+</m:t>
            </m:r>
            <m:r>
              <w:rPr>
                <w:rFonts w:ascii="Cambria Math" w:hAnsi="Cambria Math"/>
              </w:rPr>
              <m:t>c</m:t>
            </m:r>
          </m:sub>
        </m:sSub>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b</m:t>
            </m:r>
          </m:sub>
        </m:sSub>
      </m:oMath>
      <w:r w:rsidR="004A430F">
        <w:rPr>
          <w:rFonts w:eastAsiaTheme="minorEastAsia"/>
        </w:rPr>
        <w:t>. So</w:t>
      </w:r>
      <w:r w:rsidR="00B76BD7">
        <w:rPr>
          <w:rFonts w:eastAsiaTheme="minorEastAsia"/>
        </w:rPr>
        <w:t>,</w:t>
      </w:r>
      <w:r w:rsidR="004A430F">
        <w:rPr>
          <w:rFonts w:eastAsiaTheme="minorEastAsia"/>
        </w:rPr>
        <w:t xml:space="preserve"> </w:t>
      </w:r>
      <w:r w:rsidR="00EF19D8">
        <w:rPr>
          <w:rFonts w:eastAsiaTheme="minorEastAsia"/>
        </w:rPr>
        <w:t>it follows that:</w:t>
      </w:r>
    </w:p>
    <w:p w14:paraId="319F1145" w14:textId="4B098C64" w:rsidR="00402485" w:rsidRPr="00402485" w:rsidRDefault="00F67410" w:rsidP="004F4B8F">
      <w:pPr>
        <w:spacing w:before="120" w:after="240" w:line="360" w:lineRule="auto"/>
        <w:ind w:firstLine="720"/>
        <w:rPr>
          <w:rFonts w:eastAsiaTheme="minorEastAsia"/>
        </w:rPr>
      </w:pPr>
      <m:oMath>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c</m:t>
            </m:r>
          </m:sub>
        </m:sSub>
        <m:r>
          <m:rPr>
            <m:sty m:val="p"/>
          </m:rPr>
          <w:rPr>
            <w:rFonts w:ascii="Cambria Math" w:eastAsiaTheme="minorEastAsia" w:hAnsi="Cambria Math"/>
          </w:rPr>
          <m:t>≥</m:t>
        </m:r>
        <m:sSub>
          <m:sSubPr>
            <m:ctrlPr>
              <w:rPr>
                <w:rFonts w:ascii="Cambria Math" w:hAnsi="Cambria Math"/>
              </w:rPr>
            </m:ctrlPr>
          </m:sSubPr>
          <m:e>
            <m:r>
              <w:rPr>
                <w:rFonts w:ascii="Cambria Math" w:hAnsi="Cambria Math"/>
              </w:rPr>
              <m:t>μ</m:t>
            </m:r>
          </m:e>
          <m:sub>
            <m:r>
              <w:rPr>
                <w:rFonts w:ascii="Cambria Math" w:hAnsi="Cambria Math"/>
              </w:rPr>
              <m:t>c</m:t>
            </m:r>
          </m:sub>
        </m:sSub>
        <m:r>
          <m:rPr>
            <m:sty m:val="p"/>
          </m:rPr>
          <w:rPr>
            <w:rFonts w:ascii="Cambria Math" w:eastAsiaTheme="minorEastAsia" w:hAnsi="Cambria Math"/>
          </w:rPr>
          <m:t>+</m:t>
        </m:r>
        <m:r>
          <w:rPr>
            <w:rFonts w:ascii="Cambria Math" w:eastAsiaTheme="minorEastAsia" w:hAnsi="Cambria Math"/>
          </w:rPr>
          <m:t>y</m:t>
        </m:r>
        <m:r>
          <m:rPr>
            <m:sty m:val="p"/>
          </m:rPr>
          <w:rPr>
            <w:rFonts w:ascii="Cambria Math" w:eastAsiaTheme="minorEastAsia" w:hAnsi="Cambria Math"/>
          </w:rPr>
          <m:t>(</m:t>
        </m:r>
        <m:sSub>
          <m:sSubPr>
            <m:ctrlPr>
              <w:rPr>
                <w:rFonts w:ascii="Cambria Math" w:hAnsi="Cambria Math"/>
              </w:rPr>
            </m:ctrlPr>
          </m:sSubPr>
          <m:e>
            <m:r>
              <w:rPr>
                <w:rFonts w:ascii="Cambria Math" w:hAnsi="Cambria Math"/>
              </w:rPr>
              <m:t>Z</m:t>
            </m:r>
          </m:e>
          <m:sub>
            <m:r>
              <w:rPr>
                <w:rFonts w:ascii="Cambria Math" w:hAnsi="Cambria Math"/>
              </w:rPr>
              <m:t>b</m:t>
            </m:r>
            <m:r>
              <m:rPr>
                <m:sty m:val="p"/>
              </m:rPr>
              <w:rPr>
                <w:rFonts w:ascii="Cambria Math" w:hAnsi="Cambria Math"/>
              </w:rPr>
              <m:t>+</m:t>
            </m:r>
            <m:r>
              <w:rPr>
                <w:rFonts w:ascii="Cambria Math" w:hAnsi="Cambria Math"/>
              </w:rPr>
              <m:t>c</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b</m:t>
            </m:r>
          </m:sub>
        </m:sSub>
        <m:r>
          <m:rPr>
            <m:sty m:val="p"/>
          </m:rPr>
          <w:rPr>
            <w:rFonts w:ascii="Cambria Math" w:hAnsi="Cambria Math"/>
          </w:rPr>
          <m:t>)</m:t>
        </m:r>
      </m:oMath>
      <w:r w:rsidR="00402485">
        <w:rPr>
          <w:rFonts w:eastAsiaTheme="minorEastAsia"/>
        </w:rPr>
        <w:t xml:space="preserve"> </w:t>
      </w:r>
      <w:r w:rsidR="00AE217A">
        <w:rPr>
          <w:rFonts w:eastAsiaTheme="minorEastAsia"/>
        </w:rPr>
        <w:tab/>
      </w:r>
      <w:r w:rsidR="00BA1D0E">
        <w:rPr>
          <w:rFonts w:eastAsiaTheme="minorEastAsia"/>
        </w:rPr>
        <w:tab/>
      </w:r>
      <w:r w:rsidR="00AE217A">
        <w:rPr>
          <w:rFonts w:eastAsiaTheme="minorEastAsia"/>
        </w:rPr>
        <w:t>(1)</w:t>
      </w:r>
    </w:p>
    <w:p w14:paraId="350B8C93" w14:textId="77777777" w:rsidR="00EF19D8" w:rsidRDefault="00EF19D8" w:rsidP="004F4B8F">
      <w:pPr>
        <w:spacing w:before="120" w:after="240" w:line="360" w:lineRule="auto"/>
        <w:rPr>
          <w:rFonts w:eastAsiaTheme="minorEastAsia"/>
        </w:rPr>
      </w:pPr>
      <w:r>
        <w:t>It is common in catastrophe reinsurance to set this price according to Kreps’s formula</w:t>
      </w:r>
      <w:r w:rsidR="00AD05B7">
        <w:t xml:space="preserve"> (Kreps 1990)</w:t>
      </w:r>
      <w:r>
        <w:t>:</w:t>
      </w:r>
      <w:r w:rsidRPr="00EF19D8">
        <w:rPr>
          <w:rFonts w:eastAsiaTheme="minorEastAsia"/>
        </w:rPr>
        <w:t xml:space="preserve"> </w:t>
      </w:r>
    </w:p>
    <w:p w14:paraId="171CA62B" w14:textId="485BB337" w:rsidR="00EF19D8" w:rsidRPr="00EF19D8" w:rsidRDefault="00F67410" w:rsidP="004F4B8F">
      <w:pPr>
        <w:spacing w:before="120" w:after="240" w:line="360" w:lineRule="auto"/>
        <w:ind w:firstLine="720"/>
        <w:rPr>
          <w:rFonts w:eastAsiaTheme="minorEastAsia"/>
        </w:rPr>
      </w:pPr>
      <m:oMath>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c</m:t>
            </m:r>
          </m:sub>
        </m:sSub>
        <m:r>
          <m:rPr>
            <m:sty m:val="p"/>
          </m:rPr>
          <w:rPr>
            <w:rFonts w:ascii="Cambria Math" w:eastAsiaTheme="minorEastAsia" w:hAnsi="Cambria Math"/>
          </w:rPr>
          <m:t>=</m:t>
        </m:r>
        <m:sSub>
          <m:sSubPr>
            <m:ctrlPr>
              <w:rPr>
                <w:rFonts w:ascii="Cambria Math" w:hAnsi="Cambria Math"/>
              </w:rPr>
            </m:ctrlPr>
          </m:sSubPr>
          <m:e>
            <m:r>
              <w:rPr>
                <w:rFonts w:ascii="Cambria Math" w:hAnsi="Cambria Math"/>
              </w:rPr>
              <m:t>μ</m:t>
            </m:r>
          </m:e>
          <m:sub>
            <m:r>
              <w:rPr>
                <w:rFonts w:ascii="Cambria Math" w:hAnsi="Cambria Math"/>
              </w:rPr>
              <m:t>c</m:t>
            </m:r>
          </m:sub>
        </m:sSub>
        <m:r>
          <m:rPr>
            <m:sty m:val="p"/>
          </m:rPr>
          <w:rPr>
            <w:rFonts w:ascii="Cambria Math" w:eastAsiaTheme="minorEastAsia" w:hAnsi="Cambria Math"/>
          </w:rPr>
          <m:t>+</m:t>
        </m:r>
        <m:r>
          <w:rPr>
            <w:rFonts w:ascii="Cambria Math" w:eastAsiaTheme="minorEastAsia" w:hAnsi="Cambria Math"/>
          </w:rPr>
          <m:t>ι</m:t>
        </m:r>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σ</m:t>
            </m:r>
          </m:e>
          <m:sub>
            <m:r>
              <w:rPr>
                <w:rFonts w:ascii="Cambria Math" w:eastAsiaTheme="minorEastAsia" w:hAnsi="Cambria Math"/>
              </w:rPr>
              <m:t>c</m:t>
            </m:r>
          </m:sub>
        </m:sSub>
      </m:oMath>
      <w:r w:rsidR="00EF19D8">
        <w:rPr>
          <w:rFonts w:eastAsiaTheme="minorEastAsia"/>
        </w:rPr>
        <w:t xml:space="preserve"> </w:t>
      </w:r>
      <w:r w:rsidR="00AE217A">
        <w:rPr>
          <w:rFonts w:eastAsiaTheme="minorEastAsia"/>
        </w:rPr>
        <w:tab/>
      </w:r>
      <w:r w:rsidR="00AE217A">
        <w:rPr>
          <w:rFonts w:eastAsiaTheme="minorEastAsia"/>
        </w:rPr>
        <w:tab/>
      </w:r>
      <w:r w:rsidR="00AE217A">
        <w:rPr>
          <w:rFonts w:eastAsiaTheme="minorEastAsia"/>
        </w:rPr>
        <w:tab/>
      </w:r>
      <w:r w:rsidR="00BA1D0E">
        <w:rPr>
          <w:rFonts w:eastAsiaTheme="minorEastAsia"/>
        </w:rPr>
        <w:tab/>
      </w:r>
      <w:r w:rsidR="00AE217A">
        <w:rPr>
          <w:rFonts w:eastAsiaTheme="minorEastAsia"/>
        </w:rPr>
        <w:t>(2)</w:t>
      </w:r>
    </w:p>
    <w:p w14:paraId="6DA6823A" w14:textId="3BB2EED8" w:rsidR="006F312F" w:rsidRDefault="00EF19D8" w:rsidP="004F4B8F">
      <w:pPr>
        <w:spacing w:before="120" w:after="240" w:line="360" w:lineRule="auto"/>
      </w:pPr>
      <w:r>
        <w:lastRenderedPageBreak/>
        <w:t xml:space="preserve">Here </w:t>
      </w:r>
      <m:oMath>
        <m:sSub>
          <m:sSubPr>
            <m:ctrlPr>
              <w:rPr>
                <w:rFonts w:ascii="Cambria Math" w:eastAsiaTheme="minorEastAsia" w:hAnsi="Cambria Math"/>
              </w:rPr>
            </m:ctrlPr>
          </m:sSubPr>
          <m:e>
            <m:r>
              <w:rPr>
                <w:rFonts w:ascii="Cambria Math" w:eastAsiaTheme="minorEastAsia" w:hAnsi="Cambria Math"/>
              </w:rPr>
              <m:t>σ</m:t>
            </m:r>
          </m:e>
          <m:sub>
            <m:r>
              <w:rPr>
                <w:rFonts w:ascii="Cambria Math" w:eastAsiaTheme="minorEastAsia" w:hAnsi="Cambria Math"/>
              </w:rPr>
              <m:t>c</m:t>
            </m:r>
          </m:sub>
        </m:sSub>
      </m:oMath>
      <w:r>
        <w:rPr>
          <w:rFonts w:eastAsiaTheme="minorEastAsia"/>
        </w:rPr>
        <w:t xml:space="preserve"> </w:t>
      </w:r>
      <w:r w:rsidR="0040222A">
        <w:rPr>
          <w:rFonts w:eastAsiaTheme="minorEastAsia"/>
        </w:rPr>
        <w:t>is the standard deviation of the new contract</w:t>
      </w:r>
      <w:r w:rsidR="0040222A" w:rsidRPr="00447C55">
        <w:rPr>
          <w:rFonts w:eastAsiaTheme="minorEastAsia"/>
          <w:i/>
          <w:iCs/>
        </w:rPr>
        <w:t xml:space="preserve"> c</w:t>
      </w:r>
      <w:r>
        <w:rPr>
          <w:rFonts w:eastAsiaTheme="minorEastAsia"/>
        </w:rPr>
        <w:t xml:space="preserve"> and </w:t>
      </w:r>
      <m:oMath>
        <m:r>
          <w:rPr>
            <w:rFonts w:ascii="Cambria Math" w:eastAsiaTheme="minorEastAsia" w:hAnsi="Cambria Math"/>
          </w:rPr>
          <m:t>ι</m:t>
        </m:r>
      </m:oMath>
      <w:r w:rsidR="00005B30">
        <w:rPr>
          <w:rFonts w:eastAsiaTheme="minorEastAsia"/>
        </w:rPr>
        <w:t xml:space="preserve"> </w:t>
      </w:r>
      <w:r w:rsidR="00C86E65">
        <w:rPr>
          <w:rFonts w:eastAsiaTheme="minorEastAsia"/>
        </w:rPr>
        <w:t xml:space="preserve">is </w:t>
      </w:r>
      <w:r w:rsidR="009C3620">
        <w:rPr>
          <w:rFonts w:eastAsiaTheme="minorEastAsia"/>
        </w:rPr>
        <w:t>a</w:t>
      </w:r>
      <w:r>
        <w:rPr>
          <w:rFonts w:eastAsiaTheme="minorEastAsia"/>
        </w:rPr>
        <w:t xml:space="preserve"> risk parameter </w:t>
      </w:r>
      <w:r w:rsidR="009C3620">
        <w:rPr>
          <w:rFonts w:eastAsiaTheme="minorEastAsia"/>
        </w:rPr>
        <w:t xml:space="preserve">on the cumulative density for losses corresponding to </w:t>
      </w:r>
      <w:r w:rsidR="009C3620">
        <w:t xml:space="preserve">the benchmark level </w:t>
      </w:r>
      <m:oMath>
        <m:r>
          <w:rPr>
            <w:rFonts w:ascii="Cambria Math" w:hAnsi="Cambria Math"/>
          </w:rPr>
          <m:t>κ</m:t>
        </m:r>
      </m:oMath>
      <w:r w:rsidR="00EB1C99">
        <w:t xml:space="preserve"> </w:t>
      </w:r>
      <w:r w:rsidR="00A50D88">
        <w:t>determined by</w:t>
      </w:r>
      <w:r w:rsidR="006C1241">
        <w:t xml:space="preserve"> the insurer’s attitude to ruin</w:t>
      </w:r>
      <w:r w:rsidR="0040222A">
        <w:t xml:space="preserve"> and which depends on </w:t>
      </w:r>
      <w:r w:rsidR="0040222A">
        <w:rPr>
          <w:rFonts w:eastAsiaTheme="minorEastAsia"/>
        </w:rPr>
        <w:t xml:space="preserve">the difference in the standard deviations of the books </w:t>
      </w:r>
      <w:proofErr w:type="spellStart"/>
      <w:r w:rsidR="0040222A" w:rsidRPr="005057F8">
        <w:rPr>
          <w:rFonts w:eastAsiaTheme="minorEastAsia"/>
          <w:i/>
        </w:rPr>
        <w:t>b+c</w:t>
      </w:r>
      <w:proofErr w:type="spellEnd"/>
      <w:r w:rsidR="0040222A">
        <w:rPr>
          <w:rFonts w:eastAsiaTheme="minorEastAsia"/>
        </w:rPr>
        <w:t xml:space="preserve"> and </w:t>
      </w:r>
      <w:r w:rsidR="0040222A" w:rsidRPr="005057F8">
        <w:rPr>
          <w:rFonts w:eastAsiaTheme="minorEastAsia"/>
          <w:i/>
        </w:rPr>
        <w:t>b</w:t>
      </w:r>
      <w:r w:rsidR="000101A1">
        <w:rPr>
          <w:rFonts w:eastAsiaTheme="minorEastAsia"/>
        </w:rPr>
        <w:t>.</w:t>
      </w:r>
      <w:r w:rsidR="00BE0875">
        <w:rPr>
          <w:rFonts w:eastAsiaTheme="minorEastAsia"/>
        </w:rPr>
        <w:t xml:space="preserve"> </w:t>
      </w:r>
      <w:r w:rsidR="000C5B72">
        <w:rPr>
          <w:rFonts w:eastAsiaTheme="minorEastAsia"/>
        </w:rPr>
        <w:t>This</w:t>
      </w:r>
      <w:r w:rsidR="00583FDC">
        <w:rPr>
          <w:rFonts w:eastAsiaTheme="minorEastAsia"/>
        </w:rPr>
        <w:t xml:space="preserve"> </w:t>
      </w:r>
      <w:r w:rsidR="0040222A">
        <w:rPr>
          <w:rFonts w:eastAsiaTheme="minorEastAsia"/>
        </w:rPr>
        <w:t>means that</w:t>
      </w:r>
      <w:r w:rsidR="00583FDC">
        <w:t xml:space="preserve"> </w:t>
      </w:r>
      <m:oMath>
        <m:r>
          <w:rPr>
            <w:rFonts w:ascii="Cambria Math" w:eastAsiaTheme="minorEastAsia" w:hAnsi="Cambria Math"/>
          </w:rPr>
          <m:t>ι</m:t>
        </m:r>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σ</m:t>
            </m:r>
          </m:e>
          <m:sub>
            <m:r>
              <w:rPr>
                <w:rFonts w:ascii="Cambria Math" w:eastAsiaTheme="minorEastAsia" w:hAnsi="Cambria Math"/>
              </w:rPr>
              <m:t>c</m:t>
            </m:r>
          </m:sub>
        </m:sSub>
      </m:oMath>
      <w:r w:rsidR="0040222A">
        <w:rPr>
          <w:rFonts w:eastAsiaTheme="minorEastAsia"/>
        </w:rPr>
        <w:t xml:space="preserve">  </w:t>
      </w:r>
      <w:r w:rsidR="00583FDC">
        <w:rPr>
          <w:rFonts w:eastAsiaTheme="minorEastAsia"/>
        </w:rPr>
        <w:t xml:space="preserve">will depend on the degree of correlation in the losses associated with the new contract </w:t>
      </w:r>
      <w:r w:rsidR="00583FDC" w:rsidRPr="00814005">
        <w:rPr>
          <w:rFonts w:eastAsiaTheme="minorEastAsia"/>
          <w:i/>
          <w:iCs/>
        </w:rPr>
        <w:t>c</w:t>
      </w:r>
      <w:r w:rsidR="00583FDC">
        <w:rPr>
          <w:rFonts w:eastAsiaTheme="minorEastAsia"/>
        </w:rPr>
        <w:t xml:space="preserve"> and those of current book held by the insurer. </w:t>
      </w:r>
    </w:p>
    <w:p w14:paraId="46D45C9F" w14:textId="149EF589" w:rsidR="008278DD" w:rsidRPr="002A0AEF" w:rsidRDefault="006F312F" w:rsidP="004F4B8F">
      <w:pPr>
        <w:spacing w:before="120" w:after="240" w:line="360" w:lineRule="auto"/>
      </w:pPr>
      <w:r>
        <w:t>This entire theoretical edifice depends on the availability of a probability measure on the set of states</w:t>
      </w:r>
      <w:r w:rsidR="007D2A3A">
        <w:t xml:space="preserve"> </w:t>
      </w:r>
      <w:r w:rsidR="000B3E9E">
        <w:t xml:space="preserve">that the insurer can use to compute the expected payoffs of possible contracts and </w:t>
      </w:r>
      <w:r w:rsidR="00B631E5">
        <w:t>the exceedance probabilities from which</w:t>
      </w:r>
      <w:r w:rsidR="000B3E9E">
        <w:t xml:space="preserve"> capital requirements and premiums</w:t>
      </w:r>
      <w:r w:rsidR="00B631E5">
        <w:t xml:space="preserve"> can be derived</w:t>
      </w:r>
      <w:r w:rsidR="000B3E9E">
        <w:t>. For this they rely on the</w:t>
      </w:r>
      <w:r w:rsidR="007D2A3A">
        <w:t xml:space="preserve"> </w:t>
      </w:r>
      <w:r w:rsidR="00483067">
        <w:t xml:space="preserve">projections coming from </w:t>
      </w:r>
      <w:r w:rsidR="007D2A3A">
        <w:t xml:space="preserve">models </w:t>
      </w:r>
      <w:r w:rsidR="00B631E5">
        <w:t xml:space="preserve">of natural hazards and vulnerabilities </w:t>
      </w:r>
      <w:r w:rsidR="007D2A3A">
        <w:t xml:space="preserve">that </w:t>
      </w:r>
      <w:r w:rsidR="00483067">
        <w:t xml:space="preserve">are typically </w:t>
      </w:r>
      <w:r w:rsidR="00524A9A">
        <w:t>constructed by others. But a</w:t>
      </w:r>
      <w:r w:rsidR="00D02BE4">
        <w:t xml:space="preserve"> combination of sparse historical data and the complexity of the processes determ</w:t>
      </w:r>
      <w:r w:rsidR="00D57872">
        <w:t xml:space="preserve">ining </w:t>
      </w:r>
      <w:r w:rsidR="00B631E5">
        <w:t>hazard and exposure</w:t>
      </w:r>
      <w:r w:rsidR="00483067">
        <w:t xml:space="preserve"> characteristics</w:t>
      </w:r>
      <w:r w:rsidR="00B631E5">
        <w:t xml:space="preserve"> means that</w:t>
      </w:r>
      <w:r w:rsidR="00D57872">
        <w:t xml:space="preserve"> the precise probab</w:t>
      </w:r>
      <w:r w:rsidR="005E3044">
        <w:t>ilistic outputs of these models</w:t>
      </w:r>
      <w:r w:rsidR="00C02494">
        <w:t xml:space="preserve"> </w:t>
      </w:r>
      <w:r w:rsidR="00B401E3">
        <w:t xml:space="preserve">do </w:t>
      </w:r>
      <w:r w:rsidR="00D57872">
        <w:t>no</w:t>
      </w:r>
      <w:r w:rsidR="006E43E3">
        <w:t>t</w:t>
      </w:r>
      <w:r w:rsidR="00D57872">
        <w:t xml:space="preserve"> capture all uncertainty</w:t>
      </w:r>
      <w:r w:rsidR="00005B30">
        <w:t xml:space="preserve"> potentially relevant to the insurer</w:t>
      </w:r>
      <w:r w:rsidR="00D57872">
        <w:t xml:space="preserve">. </w:t>
      </w:r>
      <w:r w:rsidR="00C02494">
        <w:t>The problem has two characteristic manifestations: in the persistence of multiple rival models of the natural hazard (</w:t>
      </w:r>
      <w:r w:rsidR="00C02494" w:rsidRPr="00C02494">
        <w:t>model disagreement</w:t>
      </w:r>
      <w:r w:rsidR="00C02494">
        <w:t>) and residual uncertainty amongst scientists and those drawing on model projections about the reliability of the model</w:t>
      </w:r>
      <w:r w:rsidR="005E3044">
        <w:t>s themselves</w:t>
      </w:r>
      <w:r w:rsidR="00C02494">
        <w:t xml:space="preserve"> (</w:t>
      </w:r>
      <w:r w:rsidR="00C02494" w:rsidRPr="00C02494">
        <w:t>model uncertainty</w:t>
      </w:r>
      <w:r w:rsidR="00C02494">
        <w:t xml:space="preserve">). </w:t>
      </w:r>
      <w:r w:rsidR="005E3044">
        <w:t xml:space="preserve">Both arise because the available data is not sufficient in quantity and quality either to uniquely identify the set of relevant causal factors responsible for the properties of the natural hazard or to fix the precise functional relationships between those that have been identified. </w:t>
      </w:r>
    </w:p>
    <w:p w14:paraId="05638C8F" w14:textId="1E020BF9" w:rsidR="003C4EC7" w:rsidRDefault="008278DD" w:rsidP="004F4B8F">
      <w:pPr>
        <w:spacing w:before="120" w:after="240" w:line="360" w:lineRule="auto"/>
        <w:rPr>
          <w:rFonts w:cstheme="minorHAnsi"/>
        </w:rPr>
      </w:pPr>
      <w:r>
        <w:rPr>
          <w:rFonts w:cstheme="minorHAnsi"/>
        </w:rPr>
        <w:t xml:space="preserve">The modelling of the impact of hurricanes </w:t>
      </w:r>
      <w:r w:rsidR="00C02494" w:rsidRPr="006E43E3">
        <w:rPr>
          <w:rFonts w:cstheme="minorHAnsi"/>
        </w:rPr>
        <w:t>provides a useful example</w:t>
      </w:r>
      <w:r w:rsidR="006E43E3" w:rsidRPr="006E43E3">
        <w:rPr>
          <w:rFonts w:cstheme="minorHAnsi"/>
        </w:rPr>
        <w:t xml:space="preserve">. It is striking, firstly, how many models of hurricane formation and of associated landfall rates are to be found in the scientific literature. </w:t>
      </w:r>
      <w:proofErr w:type="spellStart"/>
      <w:r w:rsidR="006E43E3" w:rsidRPr="006E43E3">
        <w:rPr>
          <w:rFonts w:cstheme="minorHAnsi"/>
        </w:rPr>
        <w:t>Guin</w:t>
      </w:r>
      <w:proofErr w:type="spellEnd"/>
      <w:r w:rsidR="006E43E3" w:rsidRPr="006E43E3">
        <w:rPr>
          <w:rFonts w:cstheme="minorHAnsi"/>
        </w:rPr>
        <w:t xml:space="preserve"> </w:t>
      </w:r>
      <w:r w:rsidR="006E43E3">
        <w:rPr>
          <w:rFonts w:cstheme="minorHAnsi"/>
        </w:rPr>
        <w:t xml:space="preserve">(2010) reports that </w:t>
      </w:r>
      <w:r w:rsidR="005E7239">
        <w:rPr>
          <w:rFonts w:cstheme="minorHAnsi"/>
        </w:rPr>
        <w:t>t</w:t>
      </w:r>
      <w:r w:rsidR="006E43E3" w:rsidRPr="006E43E3">
        <w:rPr>
          <w:rFonts w:cstheme="minorHAnsi"/>
        </w:rPr>
        <w:t>he Florida Commission on Hurricane Loss Projection Methodology</w:t>
      </w:r>
      <w:r w:rsidR="006E43E3">
        <w:rPr>
          <w:rFonts w:cstheme="minorHAnsi"/>
        </w:rPr>
        <w:t xml:space="preserve"> </w:t>
      </w:r>
      <w:r w:rsidR="006E43E3" w:rsidRPr="006E43E3">
        <w:rPr>
          <w:rFonts w:cstheme="minorHAnsi"/>
        </w:rPr>
        <w:t>2007</w:t>
      </w:r>
      <w:r w:rsidR="006E43E3">
        <w:rPr>
          <w:rFonts w:cstheme="minorHAnsi"/>
        </w:rPr>
        <w:t xml:space="preserve"> </w:t>
      </w:r>
      <w:r w:rsidR="006E43E3" w:rsidRPr="006E43E3">
        <w:rPr>
          <w:rFonts w:cstheme="minorHAnsi"/>
        </w:rPr>
        <w:t>assessment of the modelling industry us</w:t>
      </w:r>
      <w:r w:rsidR="006E43E3">
        <w:rPr>
          <w:rFonts w:cstheme="minorHAnsi"/>
        </w:rPr>
        <w:t>ed</w:t>
      </w:r>
      <w:r w:rsidR="006E43E3" w:rsidRPr="006E43E3">
        <w:rPr>
          <w:rFonts w:cstheme="minorHAnsi"/>
        </w:rPr>
        <w:t xml:space="preserve"> an ensemble of 972 models</w:t>
      </w:r>
      <w:r w:rsidR="006E43E3">
        <w:rPr>
          <w:rFonts w:cstheme="minorHAnsi"/>
        </w:rPr>
        <w:t xml:space="preserve">, while </w:t>
      </w:r>
      <w:r w:rsidR="006E43E3" w:rsidRPr="006E43E3">
        <w:rPr>
          <w:rFonts w:cstheme="minorHAnsi"/>
        </w:rPr>
        <w:t xml:space="preserve">Risk Management </w:t>
      </w:r>
      <w:r w:rsidR="006E43E3" w:rsidRPr="006E43E3">
        <w:rPr>
          <w:rFonts w:cstheme="minorHAnsi"/>
        </w:rPr>
        <w:lastRenderedPageBreak/>
        <w:t>Solutions, a leading modelling firm, uses an ensemble of 13 models to generate the “Medium-Term Rate,” their preferred prediction of hurricane landfall frequency (</w:t>
      </w:r>
      <w:proofErr w:type="spellStart"/>
      <w:r w:rsidR="006E43E3" w:rsidRPr="006E43E3">
        <w:rPr>
          <w:rFonts w:cstheme="minorHAnsi"/>
        </w:rPr>
        <w:t>Sabbatelli</w:t>
      </w:r>
      <w:proofErr w:type="spellEnd"/>
      <w:r w:rsidR="006E43E3" w:rsidRPr="006E43E3">
        <w:rPr>
          <w:rFonts w:cstheme="minorHAnsi"/>
        </w:rPr>
        <w:t xml:space="preserve"> and Waters</w:t>
      </w:r>
      <w:r w:rsidR="00896593">
        <w:rPr>
          <w:rFonts w:cstheme="minorHAnsi"/>
        </w:rPr>
        <w:t>,</w:t>
      </w:r>
      <w:r w:rsidR="006E43E3" w:rsidRPr="006E43E3">
        <w:rPr>
          <w:rFonts w:cstheme="minorHAnsi"/>
        </w:rPr>
        <w:t xml:space="preserve"> 2015). </w:t>
      </w:r>
      <w:r w:rsidR="0029660D">
        <w:rPr>
          <w:rFonts w:cstheme="minorHAnsi"/>
        </w:rPr>
        <w:t xml:space="preserve">These models </w:t>
      </w:r>
      <w:r w:rsidR="0029660D" w:rsidRPr="00A80119">
        <w:rPr>
          <w:rFonts w:cstheme="minorHAnsi"/>
        </w:rPr>
        <w:t>differ both in their methodology</w:t>
      </w:r>
      <w:r w:rsidR="00A80119">
        <w:rPr>
          <w:rFonts w:cstheme="minorHAnsi"/>
        </w:rPr>
        <w:t xml:space="preserve"> - s</w:t>
      </w:r>
      <w:r w:rsidR="0029660D" w:rsidRPr="00A80119">
        <w:rPr>
          <w:rFonts w:cstheme="minorHAnsi"/>
        </w:rPr>
        <w:t xml:space="preserve">ome </w:t>
      </w:r>
      <w:r w:rsidR="00A80119">
        <w:rPr>
          <w:rFonts w:cstheme="minorHAnsi"/>
        </w:rPr>
        <w:t>use</w:t>
      </w:r>
      <w:r w:rsidR="0029660D" w:rsidRPr="00A80119">
        <w:rPr>
          <w:rFonts w:cstheme="minorHAnsi"/>
        </w:rPr>
        <w:t xml:space="preserve"> </w:t>
      </w:r>
      <w:r w:rsidR="00A80119" w:rsidRPr="00A80119">
        <w:rPr>
          <w:rFonts w:cstheme="minorHAnsi"/>
        </w:rPr>
        <w:t xml:space="preserve">statistical </w:t>
      </w:r>
      <w:r w:rsidR="0029660D" w:rsidRPr="00A80119">
        <w:rPr>
          <w:rFonts w:cstheme="minorHAnsi"/>
        </w:rPr>
        <w:t>extrapolation</w:t>
      </w:r>
      <w:r w:rsidR="00A80119" w:rsidRPr="00A80119">
        <w:rPr>
          <w:rFonts w:cstheme="minorHAnsi"/>
        </w:rPr>
        <w:t>s from historical landfalling rates</w:t>
      </w:r>
      <w:r w:rsidR="0029660D" w:rsidRPr="00A80119">
        <w:rPr>
          <w:rFonts w:cstheme="minorHAnsi"/>
        </w:rPr>
        <w:t xml:space="preserve">, </w:t>
      </w:r>
      <w:r w:rsidR="00A80119" w:rsidRPr="00A80119">
        <w:rPr>
          <w:rFonts w:cstheme="minorHAnsi"/>
        </w:rPr>
        <w:t xml:space="preserve">while </w:t>
      </w:r>
      <w:r w:rsidR="0029660D" w:rsidRPr="00A80119">
        <w:rPr>
          <w:rFonts w:cstheme="minorHAnsi"/>
        </w:rPr>
        <w:t xml:space="preserve">others are </w:t>
      </w:r>
      <w:r w:rsidR="00A80119" w:rsidRPr="00A80119">
        <w:rPr>
          <w:rFonts w:cstheme="minorHAnsi"/>
        </w:rPr>
        <w:t>physical models of hurricane formation; some identify periods of greater and lesser hurricane activity based on the hypothesized Atlantic Multidecadal Oscillation</w:t>
      </w:r>
      <w:r w:rsidR="00A80119">
        <w:rPr>
          <w:rFonts w:cstheme="minorHAnsi"/>
        </w:rPr>
        <w:t>, others don’t (</w:t>
      </w:r>
      <w:proofErr w:type="spellStart"/>
      <w:r w:rsidR="00A80119">
        <w:rPr>
          <w:rFonts w:cstheme="minorHAnsi"/>
        </w:rPr>
        <w:t>Shome</w:t>
      </w:r>
      <w:proofErr w:type="spellEnd"/>
      <w:r w:rsidR="00A80119">
        <w:rPr>
          <w:rFonts w:cstheme="minorHAnsi"/>
        </w:rPr>
        <w:t xml:space="preserve"> et al</w:t>
      </w:r>
      <w:r w:rsidR="00896593">
        <w:rPr>
          <w:rFonts w:cstheme="minorHAnsi"/>
        </w:rPr>
        <w:t>,</w:t>
      </w:r>
      <w:r w:rsidR="00A80119">
        <w:rPr>
          <w:rFonts w:cstheme="minorHAnsi"/>
        </w:rPr>
        <w:t xml:space="preserve"> 2018) -</w:t>
      </w:r>
      <w:r w:rsidR="0029660D" w:rsidRPr="00A80119">
        <w:rPr>
          <w:rFonts w:cstheme="minorHAnsi"/>
        </w:rPr>
        <w:t xml:space="preserve"> and in the c</w:t>
      </w:r>
      <w:r>
        <w:rPr>
          <w:rFonts w:cstheme="minorHAnsi"/>
        </w:rPr>
        <w:t xml:space="preserve">ausal factors they incorporate, </w:t>
      </w:r>
      <w:r w:rsidR="0029660D" w:rsidRPr="00A80119">
        <w:rPr>
          <w:rFonts w:cstheme="minorHAnsi"/>
        </w:rPr>
        <w:t xml:space="preserve">e.g. </w:t>
      </w:r>
      <w:r w:rsidR="00935E3A" w:rsidRPr="00A80119">
        <w:rPr>
          <w:rFonts w:cstheme="minorHAnsi"/>
        </w:rPr>
        <w:t xml:space="preserve">whether the influence of Indian </w:t>
      </w:r>
      <w:r w:rsidR="00A80119" w:rsidRPr="00A80119">
        <w:rPr>
          <w:rFonts w:cstheme="minorHAnsi"/>
        </w:rPr>
        <w:t xml:space="preserve">and Pacific </w:t>
      </w:r>
      <w:r w:rsidR="00935E3A" w:rsidRPr="00A80119">
        <w:rPr>
          <w:rFonts w:cstheme="minorHAnsi"/>
        </w:rPr>
        <w:t>ocean sea</w:t>
      </w:r>
      <w:r w:rsidR="006D1508">
        <w:rPr>
          <w:rFonts w:cstheme="minorHAnsi"/>
        </w:rPr>
        <w:t>-</w:t>
      </w:r>
      <w:r w:rsidR="00935E3A" w:rsidRPr="00A80119">
        <w:rPr>
          <w:rFonts w:cstheme="minorHAnsi"/>
        </w:rPr>
        <w:t xml:space="preserve">surface temperatures </w:t>
      </w:r>
      <w:r w:rsidR="006D1508">
        <w:rPr>
          <w:rFonts w:cstheme="minorHAnsi"/>
        </w:rPr>
        <w:t>are</w:t>
      </w:r>
      <w:r w:rsidR="00935E3A" w:rsidRPr="00A80119">
        <w:rPr>
          <w:rFonts w:cstheme="minorHAnsi"/>
        </w:rPr>
        <w:t xml:space="preserve"> incorporated in models of hurricane formation in the </w:t>
      </w:r>
      <w:r w:rsidR="00A80119" w:rsidRPr="00A80119">
        <w:rPr>
          <w:rFonts w:cstheme="minorHAnsi"/>
        </w:rPr>
        <w:t>Atlantic</w:t>
      </w:r>
      <w:r w:rsidR="0029660D" w:rsidRPr="00A80119">
        <w:rPr>
          <w:rFonts w:cstheme="minorHAnsi"/>
        </w:rPr>
        <w:t xml:space="preserve">. </w:t>
      </w:r>
      <w:r w:rsidR="00325099">
        <w:rPr>
          <w:rFonts w:cstheme="minorHAnsi"/>
        </w:rPr>
        <w:t>(</w:t>
      </w:r>
      <w:r w:rsidR="006E43E3" w:rsidRPr="00A80119">
        <w:rPr>
          <w:rFonts w:cstheme="minorHAnsi"/>
        </w:rPr>
        <w:t xml:space="preserve">See also Bender et al., 2010; Knutson et al., 2008; Ranger and </w:t>
      </w:r>
      <w:proofErr w:type="spellStart"/>
      <w:r w:rsidR="006E43E3" w:rsidRPr="00A80119">
        <w:rPr>
          <w:rFonts w:cstheme="minorHAnsi"/>
        </w:rPr>
        <w:t>Niehoerster</w:t>
      </w:r>
      <w:proofErr w:type="spellEnd"/>
      <w:r w:rsidR="006E43E3" w:rsidRPr="00A80119">
        <w:rPr>
          <w:rFonts w:cstheme="minorHAnsi"/>
        </w:rPr>
        <w:t>, 2012.</w:t>
      </w:r>
      <w:r w:rsidR="00203BA6">
        <w:rPr>
          <w:rFonts w:cstheme="minorHAnsi"/>
        </w:rPr>
        <w:t>)</w:t>
      </w:r>
      <w:r w:rsidR="006E43E3" w:rsidRPr="00A80119">
        <w:rPr>
          <w:rFonts w:cstheme="minorHAnsi"/>
        </w:rPr>
        <w:t xml:space="preserve"> </w:t>
      </w:r>
    </w:p>
    <w:p w14:paraId="1CB82895" w14:textId="3492DE4A" w:rsidR="004C39E4" w:rsidRDefault="0029660D" w:rsidP="004F4B8F">
      <w:pPr>
        <w:autoSpaceDE w:val="0"/>
        <w:autoSpaceDN w:val="0"/>
        <w:adjustRightInd w:val="0"/>
        <w:spacing w:before="120" w:after="240" w:line="360" w:lineRule="auto"/>
        <w:rPr>
          <w:rFonts w:cstheme="minorHAnsi"/>
        </w:rPr>
      </w:pPr>
      <w:r>
        <w:rPr>
          <w:rFonts w:cstheme="minorHAnsi"/>
        </w:rPr>
        <w:t xml:space="preserve">Secondly there is considerable model uncertainty for </w:t>
      </w:r>
      <w:proofErr w:type="gramStart"/>
      <w:r>
        <w:rPr>
          <w:rFonts w:cstheme="minorHAnsi"/>
        </w:rPr>
        <w:t>a number of</w:t>
      </w:r>
      <w:proofErr w:type="gramEnd"/>
      <w:r>
        <w:rPr>
          <w:rFonts w:cstheme="minorHAnsi"/>
        </w:rPr>
        <w:t xml:space="preserve"> reasons. </w:t>
      </w:r>
      <w:r w:rsidR="006E43E3">
        <w:rPr>
          <w:rFonts w:cstheme="minorHAnsi"/>
        </w:rPr>
        <w:t>T</w:t>
      </w:r>
      <w:r w:rsidR="006E43E3" w:rsidRPr="005E3044">
        <w:rPr>
          <w:rFonts w:cstheme="minorHAnsi"/>
        </w:rPr>
        <w:t xml:space="preserve">he historical dataset used to score these models is small, as large hurricanes are infrequent. HURDAT2, the standard database for hurricanes hitting the Atlantic coast of the USA, is moderate in size, with ~300 storms to date and only 1/3 of those counting as “major hurricanes”. If we split the dataset by region the numbers drop well below what is typically regarded as sufficient to form a reliable </w:t>
      </w:r>
      <w:r w:rsidR="006E43E3">
        <w:rPr>
          <w:rFonts w:cstheme="minorHAnsi"/>
        </w:rPr>
        <w:t xml:space="preserve">predictive </w:t>
      </w:r>
      <w:r w:rsidR="006E43E3" w:rsidRPr="005E3044">
        <w:rPr>
          <w:rFonts w:cstheme="minorHAnsi"/>
        </w:rPr>
        <w:t>statistical model</w:t>
      </w:r>
      <w:r w:rsidR="006E43E3">
        <w:rPr>
          <w:rFonts w:cstheme="minorHAnsi"/>
        </w:rPr>
        <w:t xml:space="preserve"> and modellers frequently resort to creating</w:t>
      </w:r>
      <w:r w:rsidR="006E43E3" w:rsidRPr="005E3044">
        <w:rPr>
          <w:rFonts w:cstheme="minorHAnsi"/>
        </w:rPr>
        <w:t xml:space="preserve"> “statistical storms” to expand and “fill in” the dataset.</w:t>
      </w:r>
      <w:r w:rsidR="006E43E3">
        <w:rPr>
          <w:rFonts w:cstheme="minorHAnsi"/>
        </w:rPr>
        <w:t xml:space="preserve"> </w:t>
      </w:r>
      <w:r>
        <w:rPr>
          <w:rFonts w:cstheme="minorHAnsi"/>
        </w:rPr>
        <w:t>Model confirmation is further complicated by the fact that s</w:t>
      </w:r>
      <w:r w:rsidR="006E43E3" w:rsidRPr="005E3044">
        <w:rPr>
          <w:rFonts w:cstheme="minorHAnsi"/>
        </w:rPr>
        <w:t>cientists expect climate change to affect hurricane generation, which implies that in the future key climate variables which drive hurricane formation will be outside of their historical ranges.</w:t>
      </w:r>
      <w:r>
        <w:rPr>
          <w:rFonts w:cstheme="minorHAnsi"/>
        </w:rPr>
        <w:t xml:space="preserve"> Finally</w:t>
      </w:r>
      <w:r w:rsidR="005E7239">
        <w:rPr>
          <w:rFonts w:cstheme="minorHAnsi"/>
        </w:rPr>
        <w:t>,</w:t>
      </w:r>
      <w:r>
        <w:rPr>
          <w:rFonts w:cstheme="minorHAnsi"/>
        </w:rPr>
        <w:t xml:space="preserve"> there is general recognition that existing models </w:t>
      </w:r>
      <w:r w:rsidR="005B2247">
        <w:rPr>
          <w:rFonts w:cstheme="minorHAnsi"/>
        </w:rPr>
        <w:t xml:space="preserve">omit potentially relevant facts such as the effects of aerosols and pollution. </w:t>
      </w:r>
      <w:r w:rsidR="008278DD">
        <w:rPr>
          <w:rFonts w:cstheme="minorHAnsi"/>
        </w:rPr>
        <w:t>Hazard metrics exclude many characteristics known to be relevant such as duration of inundation, flow velocity and pollution levels.</w:t>
      </w:r>
    </w:p>
    <w:p w14:paraId="7F6428F2" w14:textId="75A50746" w:rsidR="005E3044" w:rsidRPr="002A0AEF" w:rsidRDefault="00613937" w:rsidP="004F4B8F">
      <w:pPr>
        <w:autoSpaceDE w:val="0"/>
        <w:autoSpaceDN w:val="0"/>
        <w:adjustRightInd w:val="0"/>
        <w:spacing w:before="120" w:after="240" w:line="360" w:lineRule="auto"/>
        <w:rPr>
          <w:rFonts w:cstheme="minorHAnsi"/>
        </w:rPr>
      </w:pPr>
      <w:r>
        <w:rPr>
          <w:rFonts w:cstheme="minorHAnsi"/>
        </w:rPr>
        <w:t xml:space="preserve">Similar problems arise in assessing the vulnerability of communities </w:t>
      </w:r>
      <w:r w:rsidR="008E21BE">
        <w:rPr>
          <w:rFonts w:cstheme="minorHAnsi"/>
        </w:rPr>
        <w:t xml:space="preserve">to a hurricane hit </w:t>
      </w:r>
      <w:r>
        <w:rPr>
          <w:rFonts w:cstheme="minorHAnsi"/>
        </w:rPr>
        <w:t>and of the financial los</w:t>
      </w:r>
      <w:r w:rsidR="008E21BE">
        <w:rPr>
          <w:rFonts w:cstheme="minorHAnsi"/>
        </w:rPr>
        <w:t>s</w:t>
      </w:r>
      <w:r>
        <w:rPr>
          <w:rFonts w:cstheme="minorHAnsi"/>
        </w:rPr>
        <w:t>es associated with</w:t>
      </w:r>
      <w:r w:rsidR="008E21BE">
        <w:rPr>
          <w:rFonts w:cstheme="minorHAnsi"/>
        </w:rPr>
        <w:t xml:space="preserve"> it</w:t>
      </w:r>
      <w:r>
        <w:rPr>
          <w:rFonts w:cstheme="minorHAnsi"/>
        </w:rPr>
        <w:t xml:space="preserve">. </w:t>
      </w:r>
      <w:r w:rsidR="000D288E">
        <w:rPr>
          <w:rFonts w:cstheme="minorHAnsi"/>
        </w:rPr>
        <w:t xml:space="preserve">Claims experience is insufficient for risk estimation in cases of </w:t>
      </w:r>
      <w:r w:rsidR="000D288E">
        <w:rPr>
          <w:rFonts w:cstheme="minorHAnsi"/>
        </w:rPr>
        <w:lastRenderedPageBreak/>
        <w:t xml:space="preserve">catastrophic loss because of the paucity of claims data and because of trends </w:t>
      </w:r>
      <w:r w:rsidR="00C9149A">
        <w:rPr>
          <w:rFonts w:cstheme="minorHAnsi"/>
        </w:rPr>
        <w:t xml:space="preserve">that </w:t>
      </w:r>
      <w:r w:rsidR="000D288E">
        <w:rPr>
          <w:rFonts w:cstheme="minorHAnsi"/>
        </w:rPr>
        <w:t>make the past an inadequate guide to the future. These include changes in exposure characteristics o</w:t>
      </w:r>
      <w:r w:rsidR="00CE603D">
        <w:rPr>
          <w:rFonts w:cstheme="minorHAnsi"/>
        </w:rPr>
        <w:t>f populations due t</w:t>
      </w:r>
      <w:r w:rsidR="0053569E">
        <w:rPr>
          <w:rFonts w:cstheme="minorHAnsi"/>
        </w:rPr>
        <w:t>o</w:t>
      </w:r>
      <w:r w:rsidR="00CE603D">
        <w:rPr>
          <w:rFonts w:cstheme="minorHAnsi"/>
        </w:rPr>
        <w:t xml:space="preserve"> factors like urbanisation, in vulnerability characteristics such as infrastructure (</w:t>
      </w:r>
      <w:proofErr w:type="gramStart"/>
      <w:r w:rsidR="00CE603D">
        <w:rPr>
          <w:rFonts w:cstheme="minorHAnsi"/>
        </w:rPr>
        <w:t>e.g.</w:t>
      </w:r>
      <w:proofErr w:type="gramEnd"/>
      <w:r w:rsidR="00CE603D">
        <w:rPr>
          <w:rFonts w:cstheme="minorHAnsi"/>
        </w:rPr>
        <w:t xml:space="preserve"> flood defences) and regulation (e.g. building standards), and in the processes determining the frequency and severity of the natural hazards themselves because of climate change.</w:t>
      </w:r>
    </w:p>
    <w:p w14:paraId="5BD5C92D" w14:textId="630827C0" w:rsidR="00740513" w:rsidRDefault="005B7F85" w:rsidP="004F4B8F">
      <w:pPr>
        <w:autoSpaceDE w:val="0"/>
        <w:autoSpaceDN w:val="0"/>
        <w:adjustRightInd w:val="0"/>
        <w:spacing w:before="120" w:after="240" w:line="360" w:lineRule="auto"/>
      </w:pPr>
      <w:r>
        <w:t xml:space="preserve">In a nutshell, </w:t>
      </w:r>
      <w:r w:rsidR="00B401E3">
        <w:t>catastrop</w:t>
      </w:r>
      <w:r w:rsidR="0049135F">
        <w:t>he insurers must make decision</w:t>
      </w:r>
      <w:r w:rsidR="00B7254B">
        <w:t>s</w:t>
      </w:r>
      <w:r w:rsidR="0049135F">
        <w:t xml:space="preserve"> n</w:t>
      </w:r>
      <w:r w:rsidR="00B401E3">
        <w:t xml:space="preserve">ot just under risk but under </w:t>
      </w:r>
      <w:r w:rsidR="00B401E3" w:rsidRPr="0049135F">
        <w:rPr>
          <w:i/>
        </w:rPr>
        <w:t>ambiguity</w:t>
      </w:r>
      <w:r w:rsidR="00C64A16">
        <w:t xml:space="preserve">, </w:t>
      </w:r>
      <w:proofErr w:type="gramStart"/>
      <w:r w:rsidR="00C64A16">
        <w:t>i.e.</w:t>
      </w:r>
      <w:proofErr w:type="gramEnd"/>
      <w:r w:rsidR="00C64A16">
        <w:t xml:space="preserve"> in circumstances in which they sh</w:t>
      </w:r>
      <w:r w:rsidR="00B631E5">
        <w:t>ould not have full confidence in</w:t>
      </w:r>
      <w:r w:rsidR="00C64A16">
        <w:t xml:space="preserve"> any single probability measure of the uncertainty they face. This fact seems to be </w:t>
      </w:r>
      <w:r w:rsidR="00BB7336">
        <w:t xml:space="preserve">at least partially </w:t>
      </w:r>
      <w:r w:rsidR="00C64A16">
        <w:t xml:space="preserve">recognised by insurers. </w:t>
      </w:r>
      <w:r w:rsidR="00740513">
        <w:t>There is growing</w:t>
      </w:r>
      <w:r w:rsidR="00C64A16">
        <w:t xml:space="preserve"> empirical</w:t>
      </w:r>
      <w:r w:rsidR="00740513">
        <w:t xml:space="preserve"> evidence</w:t>
      </w:r>
      <w:r w:rsidR="00C64A16">
        <w:t xml:space="preserve"> for instance</w:t>
      </w:r>
      <w:r w:rsidR="00740513">
        <w:t xml:space="preserve"> that insurers and (particularly) reinsurers charge an ‘ambiguity premium’ when selling coverage against catastrophic events (</w:t>
      </w:r>
      <w:r w:rsidR="00F90648">
        <w:t xml:space="preserve">Hogarth </w:t>
      </w:r>
      <w:r w:rsidR="005550C1">
        <w:t>1985</w:t>
      </w:r>
      <w:r w:rsidR="00CB66B6">
        <w:t xml:space="preserve">, 1989; </w:t>
      </w:r>
      <w:proofErr w:type="spellStart"/>
      <w:r w:rsidR="00740513">
        <w:t>Kunreuther</w:t>
      </w:r>
      <w:proofErr w:type="spellEnd"/>
      <w:r w:rsidR="00740513">
        <w:t xml:space="preserve"> et al, 1995; </w:t>
      </w:r>
      <w:proofErr w:type="spellStart"/>
      <w:r w:rsidR="00740513">
        <w:t>Cantabous</w:t>
      </w:r>
      <w:proofErr w:type="spellEnd"/>
      <w:r w:rsidR="00740513">
        <w:t>, 2007), and some evidence that insurers are reluctant to supply coverage in these conditions (</w:t>
      </w:r>
      <w:proofErr w:type="spellStart"/>
      <w:r w:rsidR="00740513">
        <w:t>Kunreuther</w:t>
      </w:r>
      <w:proofErr w:type="spellEnd"/>
      <w:r w:rsidR="00740513">
        <w:t xml:space="preserve"> et al, 1993), both expressions of less than full confidence in model-based expected loss projections and an aversion to the uncertainty regarding their reliability.</w:t>
      </w:r>
      <w:r w:rsidR="0067764B">
        <w:t xml:space="preserve"> On the other hand</w:t>
      </w:r>
      <w:r w:rsidR="00BE209A">
        <w:t>,</w:t>
      </w:r>
      <w:r w:rsidR="0067764B">
        <w:t xml:space="preserve"> there is little evidence of </w:t>
      </w:r>
      <w:r w:rsidR="0067764B" w:rsidRPr="00DE2558">
        <w:rPr>
          <w:i/>
        </w:rPr>
        <w:t>explicit</w:t>
      </w:r>
      <w:r w:rsidR="0067764B">
        <w:t xml:space="preserve"> </w:t>
      </w:r>
      <w:r w:rsidR="009101DB">
        <w:t>modelling of ambiguity, nor o</w:t>
      </w:r>
      <w:r w:rsidR="009A28C7">
        <w:t>f procedures for managing it</w:t>
      </w:r>
      <w:r w:rsidR="009101DB">
        <w:t xml:space="preserve"> within insurance companies</w:t>
      </w:r>
      <w:r w:rsidR="00DE2558">
        <w:t xml:space="preserve"> (beyond the kind of averaging techniques described later)</w:t>
      </w:r>
      <w:r w:rsidR="009A28C7">
        <w:t>. This in turn may partially reflect the sparsity of theoretical work on insurance decision making under ambiguity</w:t>
      </w:r>
      <w:r w:rsidR="00AD05B7">
        <w:t xml:space="preserve"> and of evaluations of the suitability of the various proposals for ambiguity-sensitive decision rules to insurance applications</w:t>
      </w:r>
      <w:r w:rsidR="0067764B">
        <w:t xml:space="preserve">. </w:t>
      </w:r>
    </w:p>
    <w:p w14:paraId="2A2F6D78" w14:textId="77777777" w:rsidR="00B874C9" w:rsidRDefault="00B874C9" w:rsidP="004F4B8F">
      <w:pPr>
        <w:autoSpaceDE w:val="0"/>
        <w:autoSpaceDN w:val="0"/>
        <w:adjustRightInd w:val="0"/>
        <w:spacing w:before="120" w:after="240" w:line="360" w:lineRule="auto"/>
        <w:rPr>
          <w:rFonts w:cstheme="minorHAnsi"/>
        </w:rPr>
      </w:pPr>
    </w:p>
    <w:p w14:paraId="464EB1AA" w14:textId="17C10036" w:rsidR="00792AFE" w:rsidRPr="009F0620" w:rsidRDefault="00B874C9" w:rsidP="004F4B8F">
      <w:pPr>
        <w:autoSpaceDE w:val="0"/>
        <w:autoSpaceDN w:val="0"/>
        <w:adjustRightInd w:val="0"/>
        <w:spacing w:before="120" w:after="240" w:line="360" w:lineRule="auto"/>
        <w:rPr>
          <w:rFonts w:cstheme="minorHAnsi"/>
          <w:b/>
        </w:rPr>
      </w:pPr>
      <w:r w:rsidRPr="00BB2F66">
        <w:rPr>
          <w:rFonts w:cstheme="minorHAnsi"/>
          <w:b/>
        </w:rPr>
        <w:t>Decision</w:t>
      </w:r>
      <w:r w:rsidR="009F0620">
        <w:rPr>
          <w:rFonts w:cstheme="minorHAnsi"/>
          <w:b/>
        </w:rPr>
        <w:t xml:space="preserve"> Making</w:t>
      </w:r>
      <w:r>
        <w:rPr>
          <w:rFonts w:cstheme="minorHAnsi"/>
          <w:b/>
        </w:rPr>
        <w:t xml:space="preserve"> under Ambiguity</w:t>
      </w:r>
    </w:p>
    <w:p w14:paraId="63426462" w14:textId="181BAFD6" w:rsidR="00B428C5" w:rsidRDefault="0067764B" w:rsidP="004F4B8F">
      <w:pPr>
        <w:autoSpaceDE w:val="0"/>
        <w:autoSpaceDN w:val="0"/>
        <w:adjustRightInd w:val="0"/>
        <w:spacing w:before="120" w:after="240" w:line="360" w:lineRule="auto"/>
      </w:pPr>
      <w:r>
        <w:lastRenderedPageBreak/>
        <w:t xml:space="preserve">Although the </w:t>
      </w:r>
      <w:r w:rsidR="00B401E3">
        <w:t>decision theoretic literature on ambigu</w:t>
      </w:r>
      <w:r w:rsidR="00734F39">
        <w:t>ity is quite diverse, there is wide</w:t>
      </w:r>
      <w:r w:rsidR="00B401E3">
        <w:t xml:space="preserve"> recognition of the need in such circumstances to look at more than just a single probabilistic e</w:t>
      </w:r>
      <w:r w:rsidR="00734F39">
        <w:t>stimate and instead to consider</w:t>
      </w:r>
      <w:r w:rsidR="00B401E3">
        <w:t xml:space="preserve"> sets of probabilities and the corresponding range of expected </w:t>
      </w:r>
      <w:r w:rsidR="00C87A09">
        <w:t xml:space="preserve">benefits and </w:t>
      </w:r>
      <w:r w:rsidR="009A28C7">
        <w:t>losses that they induce. This implies that d</w:t>
      </w:r>
      <w:r w:rsidR="00B401E3">
        <w:t>ecisions about pricing a</w:t>
      </w:r>
      <w:r w:rsidR="009A28C7">
        <w:t xml:space="preserve">nd capital holdings should </w:t>
      </w:r>
      <w:r w:rsidR="00B401E3">
        <w:t xml:space="preserve">be based on the characteristics of this range. </w:t>
      </w:r>
      <w:r w:rsidR="00881BFC">
        <w:t>Proposals as to how to do so can b</w:t>
      </w:r>
      <w:r w:rsidR="008F3BD2">
        <w:t>e broken into two broad classes, identifiable by the decision consideration they attempt to track.</w:t>
      </w:r>
      <w:r w:rsidR="00357367">
        <w:rPr>
          <w:rStyle w:val="FootnoteReference"/>
        </w:rPr>
        <w:footnoteReference w:id="3"/>
      </w:r>
      <w:r w:rsidR="00357367" w:rsidRPr="00357367">
        <w:rPr>
          <w:lang w:val="en-US"/>
        </w:rPr>
        <w:t xml:space="preserve"> </w:t>
      </w:r>
    </w:p>
    <w:p w14:paraId="10E5A492" w14:textId="69E22B3B" w:rsidR="00495D49" w:rsidRDefault="00495D49" w:rsidP="004F4B8F">
      <w:pPr>
        <w:pStyle w:val="ListParagraph"/>
        <w:numPr>
          <w:ilvl w:val="0"/>
          <w:numId w:val="8"/>
        </w:numPr>
        <w:autoSpaceDE w:val="0"/>
        <w:autoSpaceDN w:val="0"/>
        <w:adjustRightInd w:val="0"/>
        <w:spacing w:before="120" w:after="240" w:line="360" w:lineRule="auto"/>
        <w:ind w:left="0" w:firstLine="0"/>
      </w:pPr>
      <w:r w:rsidRPr="009F0620">
        <w:rPr>
          <w:i/>
        </w:rPr>
        <w:t>Caution</w:t>
      </w:r>
      <w:r>
        <w:t>: One thought is that in situations of ambiguity an agent is justified in choosing cautiously by giving greater weight to the downside risks of alternative actions than the upside opportunities. The most popular version of this prescribes choice of the action that maximises the minimum expected benefit (Levi</w:t>
      </w:r>
      <w:r w:rsidR="0007297F">
        <w:t xml:space="preserve"> 1974</w:t>
      </w:r>
      <w:r>
        <w:t>, Gilboa &amp; Schmeidler 1989), but more sophisticated ones recommend choice based on a ‘pessimism’-weighted average of the minimum and maximum expected benefit associated with each action (</w:t>
      </w:r>
      <w:proofErr w:type="spellStart"/>
      <w:r w:rsidR="003C2B8D">
        <w:t>Binmore</w:t>
      </w:r>
      <w:proofErr w:type="spellEnd"/>
      <w:r w:rsidR="009A28CA">
        <w:t xml:space="preserve"> 2017</w:t>
      </w:r>
      <w:r>
        <w:t xml:space="preserve">), of the best and minimum estimates of expected benefit (Ellsberg 1961), or even of </w:t>
      </w:r>
      <w:proofErr w:type="gramStart"/>
      <w:r>
        <w:t>all of</w:t>
      </w:r>
      <w:proofErr w:type="gramEnd"/>
      <w:r>
        <w:t xml:space="preserve"> expected benefit estimates (Klibanoff et al 2005). </w:t>
      </w:r>
    </w:p>
    <w:p w14:paraId="74293B37" w14:textId="77777777" w:rsidR="00495D49" w:rsidRDefault="00495D49" w:rsidP="004F4B8F">
      <w:pPr>
        <w:pStyle w:val="ListParagraph"/>
        <w:autoSpaceDE w:val="0"/>
        <w:autoSpaceDN w:val="0"/>
        <w:adjustRightInd w:val="0"/>
        <w:spacing w:before="120" w:after="240" w:line="360" w:lineRule="auto"/>
        <w:ind w:left="0"/>
      </w:pPr>
    </w:p>
    <w:p w14:paraId="0F7EAD82" w14:textId="0B46558D" w:rsidR="009F0620" w:rsidRDefault="008F3BD2" w:rsidP="004F4B8F">
      <w:pPr>
        <w:pStyle w:val="ListParagraph"/>
        <w:numPr>
          <w:ilvl w:val="0"/>
          <w:numId w:val="8"/>
        </w:numPr>
        <w:autoSpaceDE w:val="0"/>
        <w:autoSpaceDN w:val="0"/>
        <w:adjustRightInd w:val="0"/>
        <w:spacing w:before="120" w:after="240" w:line="360" w:lineRule="auto"/>
        <w:ind w:left="0" w:firstLine="0"/>
      </w:pPr>
      <w:r w:rsidRPr="00B428C5">
        <w:rPr>
          <w:i/>
        </w:rPr>
        <w:t>Robustness</w:t>
      </w:r>
      <w:r>
        <w:t xml:space="preserve">: </w:t>
      </w:r>
      <w:r w:rsidR="00495D49">
        <w:t>Another</w:t>
      </w:r>
      <w:r w:rsidR="009B32BB">
        <w:t xml:space="preserve"> thought is that agents should look for actions or policies that achieve </w:t>
      </w:r>
      <w:r w:rsidR="009F0620">
        <w:t xml:space="preserve">pregiven </w:t>
      </w:r>
      <w:r w:rsidR="009B32BB">
        <w:t xml:space="preserve">goals robustly in the sense that </w:t>
      </w:r>
      <w:r w:rsidR="00AB3B72">
        <w:t xml:space="preserve">they </w:t>
      </w:r>
      <w:r w:rsidR="009B32BB">
        <w:t xml:space="preserve">can be expected to reach these goals under all </w:t>
      </w:r>
      <w:r w:rsidR="00AF72EA">
        <w:t xml:space="preserve">assumptions. More precisely, </w:t>
      </w:r>
      <w:r w:rsidR="00AB3B72">
        <w:t xml:space="preserve">an action is robust if </w:t>
      </w:r>
      <w:r w:rsidR="00AF72EA">
        <w:t xml:space="preserve">the </w:t>
      </w:r>
      <w:r w:rsidR="00483067">
        <w:t xml:space="preserve">expected benefit of </w:t>
      </w:r>
      <w:r w:rsidR="00AB3B72">
        <w:t>performing it</w:t>
      </w:r>
      <w:r w:rsidR="00AF72EA">
        <w:t xml:space="preserve"> is over a required threshold</w:t>
      </w:r>
      <w:r w:rsidR="00483067">
        <w:t xml:space="preserve"> when calculated relative to every probability function in the set</w:t>
      </w:r>
      <w:r w:rsidR="000B6A01">
        <w:t xml:space="preserve"> </w:t>
      </w:r>
      <w:r w:rsidR="009F0620">
        <w:t xml:space="preserve">of those qualifying for consideration </w:t>
      </w:r>
      <w:r w:rsidR="000B6A01">
        <w:t>(</w:t>
      </w:r>
      <w:proofErr w:type="spellStart"/>
      <w:r w:rsidR="007237C9">
        <w:t>Gärdenfors</w:t>
      </w:r>
      <w:proofErr w:type="spellEnd"/>
      <w:r w:rsidR="00F65A6C">
        <w:t xml:space="preserve"> and </w:t>
      </w:r>
      <w:proofErr w:type="spellStart"/>
      <w:r w:rsidR="00F65A6C">
        <w:t>Sahlin</w:t>
      </w:r>
      <w:proofErr w:type="spellEnd"/>
      <w:r w:rsidR="007237C9">
        <w:t xml:space="preserve"> 1982;</w:t>
      </w:r>
      <w:r w:rsidR="005F6EF9">
        <w:t xml:space="preserve"> </w:t>
      </w:r>
      <w:proofErr w:type="spellStart"/>
      <w:r w:rsidR="005E66DD">
        <w:t>Nehring</w:t>
      </w:r>
      <w:proofErr w:type="spellEnd"/>
      <w:r w:rsidR="005E66DD">
        <w:t xml:space="preserve"> 2009; </w:t>
      </w:r>
      <w:r w:rsidR="000B6A01">
        <w:t>Ben Hai</w:t>
      </w:r>
      <w:r w:rsidR="005F6EF9">
        <w:t>m 2010</w:t>
      </w:r>
      <w:r w:rsidR="000B6A01">
        <w:t>)</w:t>
      </w:r>
      <w:r w:rsidR="00AF72EA">
        <w:t xml:space="preserve">. </w:t>
      </w:r>
    </w:p>
    <w:p w14:paraId="3310F492" w14:textId="1FD4F5AA" w:rsidR="001A0856" w:rsidRDefault="002A080B" w:rsidP="004F4B8F">
      <w:pPr>
        <w:autoSpaceDE w:val="0"/>
        <w:autoSpaceDN w:val="0"/>
        <w:adjustRightInd w:val="0"/>
        <w:spacing w:before="120" w:after="240" w:line="360" w:lineRule="auto"/>
      </w:pPr>
      <w:r>
        <w:lastRenderedPageBreak/>
        <w:t>There is a lot to be said about the relationship between these different proposals and about their relative merits but, for</w:t>
      </w:r>
      <w:r w:rsidR="00FA014C">
        <w:t xml:space="preserve"> present purposes</w:t>
      </w:r>
      <w:r>
        <w:t>,</w:t>
      </w:r>
      <w:r w:rsidR="00FA014C">
        <w:t xml:space="preserve"> it will suffice to consider one illustrative rule for the determination of capital reserves and pricing of premiums under ambiguity</w:t>
      </w:r>
      <w:r w:rsidR="009A1AA4">
        <w:t xml:space="preserve">. </w:t>
      </w:r>
      <w:r w:rsidR="00F73CC1">
        <w:t xml:space="preserve">Let </w:t>
      </w:r>
      <m:oMath>
        <m:sSub>
          <m:sSubPr>
            <m:ctrlPr>
              <w:rPr>
                <w:rFonts w:ascii="Cambria Math" w:hAnsi="Cambria Math"/>
                <w:i/>
              </w:rPr>
            </m:ctrlPr>
          </m:sSubPr>
          <m:e>
            <m:r>
              <w:rPr>
                <w:rFonts w:ascii="Cambria Math" w:hAnsi="Cambria Math"/>
              </w:rPr>
              <m:t>π</m:t>
            </m:r>
          </m:e>
          <m:sub>
            <m:r>
              <w:rPr>
                <w:rFonts w:ascii="Cambria Math" w:hAnsi="Cambria Math"/>
              </w:rPr>
              <m:t>b</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b</m:t>
            </m:r>
          </m:sub>
          <m:sup>
            <m:r>
              <w:rPr>
                <w:rFonts w:ascii="Cambria Math" w:hAnsi="Cambria Math"/>
              </w:rPr>
              <m:t>1</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b</m:t>
            </m:r>
          </m:sub>
          <m:sup>
            <m:r>
              <w:rPr>
                <w:rFonts w:ascii="Cambria Math" w:hAnsi="Cambria Math"/>
              </w:rPr>
              <m:t>n</m:t>
            </m:r>
          </m:sup>
        </m:sSubSup>
        <m:r>
          <w:rPr>
            <w:rFonts w:ascii="Cambria Math" w:hAnsi="Cambria Math"/>
          </w:rPr>
          <m:t>}</m:t>
        </m:r>
      </m:oMath>
      <w:r w:rsidR="00090C06" w:rsidRPr="00FA014C">
        <w:rPr>
          <w:rFonts w:eastAsiaTheme="minorEastAsia"/>
        </w:rPr>
        <w:t xml:space="preserve"> be </w:t>
      </w:r>
      <w:r w:rsidR="00F73CC1">
        <w:t xml:space="preserve">the set of </w:t>
      </w:r>
      <w:r w:rsidR="00090C06">
        <w:t xml:space="preserve">exceedance probabilities for a book </w:t>
      </w:r>
      <w:r w:rsidR="00090C06" w:rsidRPr="00FA014C">
        <w:rPr>
          <w:i/>
        </w:rPr>
        <w:t>b</w:t>
      </w:r>
      <w:r w:rsidR="00090C06">
        <w:t xml:space="preserve"> </w:t>
      </w:r>
      <w:r w:rsidR="00017FB3">
        <w:t xml:space="preserve">associated with </w:t>
      </w:r>
      <w:r w:rsidR="00017FB3" w:rsidRPr="00FA014C">
        <w:rPr>
          <w:i/>
        </w:rPr>
        <w:t>n</w:t>
      </w:r>
      <w:r w:rsidR="00017FB3">
        <w:t xml:space="preserve"> candidate cat models</w:t>
      </w:r>
      <w:r w:rsidR="00483067">
        <w:t>. F</w:t>
      </w:r>
      <w:r w:rsidR="004D6AAD">
        <w:t xml:space="preserve">or any </w:t>
      </w:r>
      <m:oMath>
        <m:sSubSup>
          <m:sSubSupPr>
            <m:ctrlPr>
              <w:rPr>
                <w:rFonts w:ascii="Cambria Math" w:hAnsi="Cambria Math"/>
                <w:i/>
              </w:rPr>
            </m:ctrlPr>
          </m:sSubSupPr>
          <m:e>
            <m:r>
              <w:rPr>
                <w:rFonts w:ascii="Cambria Math" w:hAnsi="Cambria Math"/>
              </w:rPr>
              <m:t>P</m:t>
            </m:r>
          </m:e>
          <m:sub>
            <m:r>
              <w:rPr>
                <w:rFonts w:ascii="Cambria Math" w:hAnsi="Cambria Math"/>
              </w:rPr>
              <m:t>b</m:t>
            </m:r>
          </m:sub>
          <m:sup>
            <m:r>
              <w:rPr>
                <w:rFonts w:ascii="Cambria Math" w:hAnsi="Cambria Math"/>
              </w:rPr>
              <m:t>i</m:t>
            </m:r>
          </m:sup>
        </m:sSubSup>
        <m:r>
          <w:rPr>
            <w:rFonts w:ascii="Cambria Math" w:hAnsi="Cambria Math"/>
            <w:caps/>
          </w:rPr>
          <m:t>∈</m:t>
        </m:r>
        <m:sSub>
          <m:sSubPr>
            <m:ctrlPr>
              <w:rPr>
                <w:rFonts w:ascii="Cambria Math" w:hAnsi="Cambria Math"/>
                <w:i/>
              </w:rPr>
            </m:ctrlPr>
          </m:sSubPr>
          <m:e>
            <m:r>
              <w:rPr>
                <w:rFonts w:ascii="Cambria Math" w:hAnsi="Cambria Math"/>
              </w:rPr>
              <m:t>π</m:t>
            </m:r>
          </m:e>
          <m:sub>
            <m:r>
              <w:rPr>
                <w:rFonts w:ascii="Cambria Math" w:hAnsi="Cambria Math"/>
              </w:rPr>
              <m:t>b</m:t>
            </m:r>
          </m:sub>
        </m:sSub>
      </m:oMath>
      <w:r w:rsidR="004D6AAD">
        <w:t xml:space="preserve"> and threshold k, let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x</m:t>
                </m:r>
              </m:e>
            </m:acc>
          </m:e>
          <m:sub>
            <m:r>
              <w:rPr>
                <w:rFonts w:ascii="Cambria Math" w:hAnsi="Cambria Math"/>
              </w:rPr>
              <m:t>k</m:t>
            </m:r>
          </m:sub>
          <m:sup>
            <m:r>
              <w:rPr>
                <w:rFonts w:ascii="Cambria Math" w:hAnsi="Cambria Math"/>
              </w:rPr>
              <m:t>i</m:t>
            </m:r>
          </m:sup>
        </m:sSubSup>
      </m:oMath>
      <w:r w:rsidR="004D6AAD">
        <w:t xml:space="preserve"> be defined as the minimum amount </w:t>
      </w:r>
      <w:r w:rsidR="004D6AAD" w:rsidRPr="00C538E1">
        <w:rPr>
          <w:i/>
          <w:iCs/>
        </w:rPr>
        <w:t>x</w:t>
      </w:r>
      <w:r w:rsidR="004D6AAD">
        <w:t xml:space="preserve"> such that</w:t>
      </w:r>
      <w:r w:rsidR="000C5B72">
        <w:t xml:space="preserve"> </w:t>
      </w:r>
      <m:oMath>
        <m:sSubSup>
          <m:sSubSupPr>
            <m:ctrlPr>
              <w:rPr>
                <w:rFonts w:ascii="Cambria Math" w:hAnsi="Cambria Math"/>
                <w:i/>
                <w:caps/>
              </w:rPr>
            </m:ctrlPr>
          </m:sSubSupPr>
          <m:e>
            <m:r>
              <w:rPr>
                <w:rFonts w:ascii="Cambria Math" w:hAnsi="Cambria Math"/>
                <w:caps/>
              </w:rPr>
              <m:t>P</m:t>
            </m:r>
          </m:e>
          <m:sub>
            <m:r>
              <w:rPr>
                <w:rFonts w:ascii="Cambria Math" w:hAnsi="Cambria Math"/>
                <w:caps/>
              </w:rPr>
              <m:t>b</m:t>
            </m:r>
          </m:sub>
          <m:sup>
            <m:r>
              <w:rPr>
                <w:rFonts w:ascii="Cambria Math" w:hAnsi="Cambria Math"/>
                <w:caps/>
              </w:rPr>
              <m:t>i</m:t>
            </m:r>
          </m:sup>
        </m:sSubSup>
        <m:r>
          <w:rPr>
            <w:rFonts w:ascii="Cambria Math" w:hAnsi="Cambria Math"/>
            <w:caps/>
          </w:rPr>
          <m:t>(&gt;x)≤κ</m:t>
        </m:r>
      </m:oMath>
      <w:r w:rsidR="004D6AAD">
        <w:t xml:space="preserve">. </w:t>
      </w:r>
      <w:r w:rsidR="00C81B57">
        <w:t xml:space="preserve">Then </w:t>
      </w:r>
      <w:r w:rsidR="00FA014C">
        <w:t xml:space="preserve">a maximally cautious approach to </w:t>
      </w:r>
      <w:r w:rsidR="001A0856">
        <w:t>capital reserves</w:t>
      </w:r>
      <w:r w:rsidR="00FA014C">
        <w:t xml:space="preserve"> would be to require </w:t>
      </w:r>
      <w:r w:rsidR="002A0AEF">
        <w:t>that they</w:t>
      </w:r>
      <w:r w:rsidR="00FA014C">
        <w:t xml:space="preserve"> be </w:t>
      </w:r>
      <w:r w:rsidR="002A0AEF">
        <w:t xml:space="preserve">set at </w:t>
      </w:r>
      <w:r w:rsidR="00FA014C">
        <w:t xml:space="preserve">the minimum holding such that the probability of a loss greater than this amount is lower than the chosen threshold on every probability function in the </w:t>
      </w:r>
      <w:proofErr w:type="gramStart"/>
      <w:r w:rsidR="00FA014C">
        <w:t>set;</w:t>
      </w:r>
      <w:proofErr w:type="gramEnd"/>
      <w:r w:rsidR="00FA014C">
        <w:t xml:space="preserve"> i.e. that for book </w:t>
      </w:r>
      <w:r w:rsidR="00FA014C" w:rsidRPr="00FA014C">
        <w:rPr>
          <w:i/>
        </w:rPr>
        <w:t>b</w:t>
      </w:r>
      <w:r w:rsidR="00FA014C">
        <w:t>:</w:t>
      </w:r>
    </w:p>
    <w:p w14:paraId="2C836506" w14:textId="791D4B64" w:rsidR="00FA014C" w:rsidRPr="001A0856" w:rsidRDefault="00F67410" w:rsidP="004F4B8F">
      <w:pPr>
        <w:autoSpaceDE w:val="0"/>
        <w:autoSpaceDN w:val="0"/>
        <w:adjustRightInd w:val="0"/>
        <w:spacing w:before="120" w:after="240" w:line="360" w:lineRule="auto"/>
        <w:ind w:firstLine="720"/>
      </w:pPr>
      <m:oMath>
        <m:sSub>
          <m:sSubPr>
            <m:ctrlPr>
              <w:rPr>
                <w:rFonts w:ascii="Cambria Math" w:hAnsi="Cambria Math"/>
                <w:i/>
                <w:caps/>
              </w:rPr>
            </m:ctrlPr>
          </m:sSubPr>
          <m:e>
            <m:r>
              <w:rPr>
                <w:rFonts w:ascii="Cambria Math" w:hAnsi="Cambria Math"/>
                <w:caps/>
              </w:rPr>
              <m:t>Z</m:t>
            </m:r>
          </m:e>
          <m:sub>
            <m:r>
              <w:rPr>
                <w:rFonts w:ascii="Cambria Math" w:hAnsi="Cambria Math"/>
                <w:caps/>
              </w:rPr>
              <m:t>b</m:t>
            </m:r>
          </m:sub>
        </m:sSub>
        <m:r>
          <w:rPr>
            <w:rFonts w:ascii="Cambria Math" w:hAnsi="Cambria Math"/>
            <w:caps/>
          </w:rPr>
          <m:t>=</m:t>
        </m:r>
        <m:func>
          <m:funcPr>
            <m:ctrlPr>
              <w:rPr>
                <w:rFonts w:ascii="Cambria Math" w:hAnsi="Cambria Math"/>
                <w:caps/>
              </w:rPr>
            </m:ctrlPr>
          </m:funcPr>
          <m:fName>
            <m:r>
              <m:rPr>
                <m:sty m:val="p"/>
              </m:rPr>
              <w:rPr>
                <w:rFonts w:ascii="Cambria Math" w:hAnsi="Cambria Math"/>
                <w:caps/>
              </w:rPr>
              <m:t>min</m:t>
            </m:r>
          </m:fName>
          <m:e>
            <m:d>
              <m:dPr>
                <m:begChr m:val="{"/>
                <m:endChr m:val="}"/>
                <m:ctrlPr>
                  <w:rPr>
                    <w:rFonts w:ascii="Cambria Math" w:hAnsi="Cambria Math"/>
                    <w:i/>
                    <w:caps/>
                  </w:rPr>
                </m:ctrlPr>
              </m:dPr>
              <m:e>
                <m:r>
                  <w:rPr>
                    <w:rFonts w:ascii="Cambria Math" w:hAnsi="Cambria Math"/>
                    <w:caps/>
                  </w:rPr>
                  <m:t>x: ∀</m:t>
                </m:r>
                <m:sSubSup>
                  <m:sSubSupPr>
                    <m:ctrlPr>
                      <w:rPr>
                        <w:rFonts w:ascii="Cambria Math" w:hAnsi="Cambria Math"/>
                        <w:i/>
                      </w:rPr>
                    </m:ctrlPr>
                  </m:sSubSupPr>
                  <m:e>
                    <m:r>
                      <w:rPr>
                        <w:rFonts w:ascii="Cambria Math" w:hAnsi="Cambria Math"/>
                      </w:rPr>
                      <m:t>P</m:t>
                    </m:r>
                  </m:e>
                  <m:sub>
                    <m:r>
                      <w:rPr>
                        <w:rFonts w:ascii="Cambria Math" w:hAnsi="Cambria Math"/>
                      </w:rPr>
                      <m:t>b</m:t>
                    </m:r>
                  </m:sub>
                  <m:sup>
                    <m:r>
                      <w:rPr>
                        <w:rFonts w:ascii="Cambria Math" w:hAnsi="Cambria Math"/>
                      </w:rPr>
                      <m:t>i</m:t>
                    </m:r>
                  </m:sup>
                </m:sSubSup>
                <m:r>
                  <w:rPr>
                    <w:rFonts w:ascii="Cambria Math" w:hAnsi="Cambria Math"/>
                    <w:caps/>
                  </w:rPr>
                  <m:t xml:space="preserve">∈π, </m:t>
                </m:r>
                <m:sSubSup>
                  <m:sSubSupPr>
                    <m:ctrlPr>
                      <w:rPr>
                        <w:rFonts w:ascii="Cambria Math" w:hAnsi="Cambria Math"/>
                        <w:i/>
                      </w:rPr>
                    </m:ctrlPr>
                  </m:sSubSupPr>
                  <m:e>
                    <m:r>
                      <w:rPr>
                        <w:rFonts w:ascii="Cambria Math" w:hAnsi="Cambria Math"/>
                      </w:rPr>
                      <m:t>P</m:t>
                    </m:r>
                  </m:e>
                  <m:sub>
                    <m:r>
                      <w:rPr>
                        <w:rFonts w:ascii="Cambria Math" w:hAnsi="Cambria Math"/>
                      </w:rPr>
                      <m:t>b</m:t>
                    </m:r>
                  </m:sub>
                  <m:sup>
                    <m:r>
                      <w:rPr>
                        <w:rFonts w:ascii="Cambria Math" w:hAnsi="Cambria Math"/>
                      </w:rPr>
                      <m:t>i</m:t>
                    </m:r>
                  </m:sup>
                </m:sSubSup>
                <m:r>
                  <w:rPr>
                    <w:rFonts w:ascii="Cambria Math" w:hAnsi="Cambria Math"/>
                    <w:caps/>
                  </w:rPr>
                  <m:t xml:space="preserve"> </m:t>
                </m:r>
                <m:d>
                  <m:dPr>
                    <m:ctrlPr>
                      <w:rPr>
                        <w:rFonts w:ascii="Cambria Math" w:hAnsi="Cambria Math"/>
                        <w:i/>
                        <w:caps/>
                      </w:rPr>
                    </m:ctrlPr>
                  </m:dPr>
                  <m:e>
                    <m:r>
                      <w:rPr>
                        <w:rFonts w:ascii="Cambria Math" w:hAnsi="Cambria Math"/>
                        <w:caps/>
                      </w:rPr>
                      <m:t>&gt;x</m:t>
                    </m:r>
                  </m:e>
                </m:d>
                <m:r>
                  <w:rPr>
                    <w:rFonts w:ascii="Cambria Math" w:hAnsi="Cambria Math"/>
                    <w:caps/>
                  </w:rPr>
                  <m:t>≤κ</m:t>
                </m:r>
              </m:e>
            </m:d>
          </m:e>
        </m:func>
        <m:r>
          <w:rPr>
            <w:rFonts w:ascii="Cambria Math" w:eastAsiaTheme="minorEastAsia" w:hAnsi="Cambria Math"/>
            <w:caps/>
          </w:rPr>
          <m:t>=</m:t>
        </m:r>
        <m:r>
          <m:rPr>
            <m:sty m:val="p"/>
          </m:rPr>
          <w:rPr>
            <w:rFonts w:ascii="Cambria Math" w:eastAsiaTheme="minorEastAsia" w:hAnsi="Cambria Math"/>
            <w:caps/>
          </w:rPr>
          <m:t>MAX</m:t>
        </m:r>
        <m:d>
          <m:dPr>
            <m:begChr m:val="{"/>
            <m:endChr m:val="}"/>
            <m:ctrlPr>
              <w:rPr>
                <w:rFonts w:ascii="Cambria Math" w:hAnsi="Cambria Math"/>
              </w:rPr>
            </m:ctrlPr>
          </m:dPr>
          <m:e>
            <m:r>
              <m:rPr>
                <m:sty m:val="p"/>
              </m:rPr>
              <w:rPr>
                <w:rFonts w:ascii="Cambria Math" w:hAnsi="Cambria Math"/>
              </w:rPr>
              <m:t xml:space="preserve"> </m:t>
            </m:r>
            <m:sSubSup>
              <m:sSubSupPr>
                <m:ctrlPr>
                  <w:rPr>
                    <w:rFonts w:ascii="Cambria Math" w:hAnsi="Cambria Math"/>
                    <w:i/>
                  </w:rPr>
                </m:ctrlPr>
              </m:sSubSupPr>
              <m:e>
                <m:acc>
                  <m:accPr>
                    <m:ctrlPr>
                      <w:rPr>
                        <w:rFonts w:ascii="Cambria Math" w:hAnsi="Cambria Math"/>
                        <w:i/>
                      </w:rPr>
                    </m:ctrlPr>
                  </m:accPr>
                  <m:e>
                    <m:r>
                      <w:rPr>
                        <w:rFonts w:ascii="Cambria Math" w:hAnsi="Cambria Math"/>
                      </w:rPr>
                      <m:t>x</m:t>
                    </m:r>
                  </m:e>
                </m:acc>
              </m:e>
              <m:sub>
                <m:r>
                  <w:rPr>
                    <w:rFonts w:ascii="Cambria Math" w:hAnsi="Cambria Math"/>
                  </w:rPr>
                  <m:t>k</m:t>
                </m:r>
              </m:sub>
              <m:sup>
                <m:r>
                  <w:rPr>
                    <w:rFonts w:ascii="Cambria Math" w:hAnsi="Cambria Math"/>
                  </w:rPr>
                  <m:t>i</m:t>
                </m:r>
              </m:sup>
            </m:sSubSup>
            <m:r>
              <w:rPr>
                <w:rFonts w:ascii="Cambria Math" w:hAnsi="Cambria Math"/>
              </w:rPr>
              <m:t>:</m:t>
            </m:r>
            <m:sSubSup>
              <m:sSubSupPr>
                <m:ctrlPr>
                  <w:rPr>
                    <w:rFonts w:ascii="Cambria Math" w:hAnsi="Cambria Math"/>
                    <w:i/>
                    <w:caps/>
                  </w:rPr>
                </m:ctrlPr>
              </m:sSubSupPr>
              <m:e>
                <m:r>
                  <w:rPr>
                    <w:rFonts w:ascii="Cambria Math" w:hAnsi="Cambria Math"/>
                    <w:caps/>
                  </w:rPr>
                  <m:t>P</m:t>
                </m:r>
              </m:e>
              <m:sub>
                <m:r>
                  <w:rPr>
                    <w:rFonts w:ascii="Cambria Math" w:hAnsi="Cambria Math"/>
                    <w:caps/>
                  </w:rPr>
                  <m:t>b</m:t>
                </m:r>
              </m:sub>
              <m:sup>
                <m:r>
                  <w:rPr>
                    <w:rFonts w:ascii="Cambria Math" w:hAnsi="Cambria Math"/>
                    <w:caps/>
                  </w:rPr>
                  <m:t>i</m:t>
                </m:r>
              </m:sup>
            </m:sSubSup>
            <m:r>
              <w:rPr>
                <w:rFonts w:ascii="Cambria Math" w:hAnsi="Cambria Math"/>
                <w:caps/>
              </w:rPr>
              <m:t>∈π</m:t>
            </m:r>
            <m:ctrlPr>
              <w:rPr>
                <w:rFonts w:ascii="Cambria Math" w:hAnsi="Cambria Math"/>
                <w:i/>
              </w:rPr>
            </m:ctrlPr>
          </m:e>
        </m:d>
      </m:oMath>
      <w:r w:rsidR="00A00130">
        <w:rPr>
          <w:rFonts w:eastAsiaTheme="minorEastAsia"/>
          <w:caps/>
        </w:rPr>
        <w:t xml:space="preserve"> </w:t>
      </w:r>
      <w:r w:rsidR="00A00130">
        <w:rPr>
          <w:rFonts w:eastAsiaTheme="minorEastAsia"/>
        </w:rPr>
        <w:tab/>
      </w:r>
      <w:r w:rsidR="00FD3A2F">
        <w:rPr>
          <w:rFonts w:eastAsiaTheme="minorEastAsia"/>
        </w:rPr>
        <w:tab/>
      </w:r>
      <w:r w:rsidR="00A4563A">
        <w:rPr>
          <w:rFonts w:eastAsiaTheme="minorEastAsia"/>
        </w:rPr>
        <w:t>(3</w:t>
      </w:r>
      <w:r w:rsidR="00A00130">
        <w:rPr>
          <w:rFonts w:eastAsiaTheme="minorEastAsia"/>
        </w:rPr>
        <w:t>)</w:t>
      </w:r>
    </w:p>
    <w:p w14:paraId="24C28EA0" w14:textId="76613C8D" w:rsidR="001A0856" w:rsidRDefault="001A0856" w:rsidP="004F4B8F">
      <w:pPr>
        <w:autoSpaceDE w:val="0"/>
        <w:autoSpaceDN w:val="0"/>
        <w:adjustRightInd w:val="0"/>
        <w:spacing w:before="120" w:after="240" w:line="360" w:lineRule="auto"/>
      </w:pPr>
      <w:r>
        <w:t>In practice this rule may dictate capital holdings that are so large as to make it impossible to stay in business. Other, less cautious, rules are less likely to have this implication: see</w:t>
      </w:r>
      <w:r w:rsidR="00C538E1">
        <w:t>,</w:t>
      </w:r>
      <w:r>
        <w:t xml:space="preserve"> for instance</w:t>
      </w:r>
      <w:r w:rsidR="00C538E1">
        <w:t>,</w:t>
      </w:r>
      <w:r>
        <w:t xml:space="preserve"> the proposal of Walker and Dietz (2017) that capital holdings be set to</w:t>
      </w:r>
      <w:r w:rsidR="0086004A">
        <w:t xml:space="preserve"> the</w:t>
      </w:r>
      <w:r>
        <w:t xml:space="preserve"> minimum amount such that a weighted average of </w:t>
      </w:r>
      <w:r w:rsidR="007E7429">
        <w:t xml:space="preserve">the </w:t>
      </w:r>
      <w:r>
        <w:t>maxim</w:t>
      </w:r>
      <w:r w:rsidR="00EE03B5">
        <w:t xml:space="preserve">um and minimum probability that losses exceed this amount is below the threshold. </w:t>
      </w:r>
    </w:p>
    <w:p w14:paraId="5B5775A2" w14:textId="7C0C8B51" w:rsidR="009A1AA4" w:rsidRDefault="00373517" w:rsidP="004F4B8F">
      <w:pPr>
        <w:autoSpaceDE w:val="0"/>
        <w:autoSpaceDN w:val="0"/>
        <w:adjustRightInd w:val="0"/>
        <w:spacing w:before="120" w:after="240" w:line="360" w:lineRule="auto"/>
      </w:pPr>
      <w:r>
        <w:t xml:space="preserve">The </w:t>
      </w:r>
      <w:r w:rsidR="004D0909">
        <w:t>main challenge for all of t</w:t>
      </w:r>
      <w:r w:rsidR="00693CDD">
        <w:t xml:space="preserve">he proposed </w:t>
      </w:r>
      <w:r w:rsidR="0087121D">
        <w:t>rules</w:t>
      </w:r>
      <w:r w:rsidR="00693CDD">
        <w:t xml:space="preserve"> for making decisions under ambiguity</w:t>
      </w:r>
      <w:r w:rsidR="004D0909">
        <w:t xml:space="preserve"> is </w:t>
      </w:r>
      <w:r w:rsidR="00EE03B5">
        <w:t>the same</w:t>
      </w:r>
      <w:r w:rsidR="00C538E1">
        <w:t xml:space="preserve">, </w:t>
      </w:r>
      <w:proofErr w:type="gramStart"/>
      <w:r w:rsidR="00C538E1">
        <w:t>namely</w:t>
      </w:r>
      <w:proofErr w:type="gramEnd"/>
      <w:r w:rsidR="00EE03B5">
        <w:t xml:space="preserve"> </w:t>
      </w:r>
      <w:r w:rsidR="004D0909">
        <w:t xml:space="preserve">to </w:t>
      </w:r>
      <w:r w:rsidR="009B1CEE">
        <w:t>explain what determines</w:t>
      </w:r>
      <w:r w:rsidR="004D0909">
        <w:t xml:space="preserve"> the set of probability functions that are to serve as inputs to the decision making</w:t>
      </w:r>
      <w:r w:rsidR="00C538E1">
        <w:t>. This is</w:t>
      </w:r>
      <w:r w:rsidR="009B1CEE">
        <w:t xml:space="preserve"> a</w:t>
      </w:r>
      <w:r w:rsidR="00F50A28">
        <w:t xml:space="preserve"> question that gets surprising little attention in the theoretical literature</w:t>
      </w:r>
      <w:r w:rsidR="00C538E1">
        <w:t xml:space="preserve">, </w:t>
      </w:r>
      <w:r w:rsidR="00F50A28">
        <w:t>perhaps because it is assumed that it will be addressed in concrete applications</w:t>
      </w:r>
      <w:r w:rsidR="004D0909">
        <w:t xml:space="preserve">. </w:t>
      </w:r>
      <w:r w:rsidR="00C844F2">
        <w:t>I</w:t>
      </w:r>
      <w:r w:rsidR="00DC5E8F">
        <w:t>n this context</w:t>
      </w:r>
      <w:r w:rsidR="008B1E21">
        <w:t>,</w:t>
      </w:r>
      <w:r w:rsidR="00DC5E8F">
        <w:t xml:space="preserve"> it is natural to focus on the class of</w:t>
      </w:r>
      <w:r w:rsidR="007A621D">
        <w:t xml:space="preserve"> hazard and loss</w:t>
      </w:r>
      <w:r w:rsidR="00DC5E8F">
        <w:t xml:space="preserve"> models that deserve consideration and the range of estimates that they produce. Such a class might be generated in </w:t>
      </w:r>
      <w:proofErr w:type="gramStart"/>
      <w:r w:rsidR="00DC5E8F">
        <w:t>a number of</w:t>
      </w:r>
      <w:proofErr w:type="gramEnd"/>
      <w:r w:rsidR="00DC5E8F">
        <w:t xml:space="preserve"> different ways. Where there is </w:t>
      </w:r>
      <w:r w:rsidR="0049135F">
        <w:t xml:space="preserve">a </w:t>
      </w:r>
      <w:r w:rsidR="00DC5E8F">
        <w:t xml:space="preserve">model available that is known or commonly believed to best represent the underlying </w:t>
      </w:r>
      <w:r w:rsidR="00DC5E8F">
        <w:lastRenderedPageBreak/>
        <w:t>physical processes generating the catastrophic events</w:t>
      </w:r>
      <w:r w:rsidR="00DC405A">
        <w:t>,</w:t>
      </w:r>
      <w:r w:rsidR="0049135F">
        <w:t xml:space="preserve"> then </w:t>
      </w:r>
      <w:r w:rsidR="008B1E21">
        <w:t>a salient</w:t>
      </w:r>
      <w:r w:rsidR="00DC405A">
        <w:t xml:space="preserve"> class </w:t>
      </w:r>
      <w:r w:rsidR="008B1E21">
        <w:t xml:space="preserve">is the one </w:t>
      </w:r>
      <w:r w:rsidR="00DC405A">
        <w:t xml:space="preserve">produced by varying the assumptions about parameter values and initial conditions. </w:t>
      </w:r>
      <w:r w:rsidR="00A5571F">
        <w:t xml:space="preserve">But </w:t>
      </w:r>
      <w:r w:rsidR="002528B6">
        <w:t>when there is not</w:t>
      </w:r>
      <w:r w:rsidR="00E51E26">
        <w:t>,</w:t>
      </w:r>
      <w:r w:rsidR="002528B6">
        <w:t xml:space="preserve"> then the set should include all candidate causal and statistical models as well as the variations obtained by perturbing parameter values and initial conditions</w:t>
      </w:r>
      <w:r w:rsidR="00F21169">
        <w:t>.</w:t>
      </w:r>
    </w:p>
    <w:p w14:paraId="0F83C890" w14:textId="4AED30AD" w:rsidR="00184C38" w:rsidRDefault="00734F39" w:rsidP="004F4B8F">
      <w:pPr>
        <w:autoSpaceDE w:val="0"/>
        <w:autoSpaceDN w:val="0"/>
        <w:adjustRightInd w:val="0"/>
        <w:spacing w:before="120" w:after="240" w:line="360" w:lineRule="auto"/>
      </w:pPr>
      <w:r>
        <w:t xml:space="preserve">The </w:t>
      </w:r>
      <w:r w:rsidR="00B2453C">
        <w:t xml:space="preserve">obvious </w:t>
      </w:r>
      <w:r w:rsidR="00044259">
        <w:t>problem with this approach</w:t>
      </w:r>
      <w:r>
        <w:t xml:space="preserve"> is that the range of estimates </w:t>
      </w:r>
      <w:r w:rsidR="0049135F">
        <w:t>generated by a process like this is likely</w:t>
      </w:r>
      <w:r w:rsidR="007E33D6">
        <w:t xml:space="preserve"> to be</w:t>
      </w:r>
      <w:r w:rsidR="0049135F">
        <w:t xml:space="preserve"> large, espe</w:t>
      </w:r>
      <w:r w:rsidR="00044259">
        <w:t>cially in the second case. Many</w:t>
      </w:r>
      <w:r>
        <w:t xml:space="preserve"> of the rules for decision making under ambiguity will then recommend setting premiums and capital reserves at levels t</w:t>
      </w:r>
      <w:r w:rsidR="00740513">
        <w:t xml:space="preserve">hat are not commercially viable and which encode ambiguity loads well </w:t>
      </w:r>
      <w:proofErr w:type="gramStart"/>
      <w:r w:rsidR="00740513">
        <w:t>in excess of</w:t>
      </w:r>
      <w:proofErr w:type="gramEnd"/>
      <w:r w:rsidR="00740513">
        <w:t xml:space="preserve"> those reported in the empirical studies mentioned before. </w:t>
      </w:r>
      <w:r w:rsidR="00044259">
        <w:t>Moreover</w:t>
      </w:r>
      <w:r w:rsidR="005B7F85">
        <w:t>,</w:t>
      </w:r>
      <w:r w:rsidR="00044259">
        <w:t xml:space="preserve"> there are varie</w:t>
      </w:r>
      <w:r w:rsidR="00D76085">
        <w:t xml:space="preserve">ty of reasons why </w:t>
      </w:r>
      <w:r w:rsidR="00B631E5">
        <w:t xml:space="preserve">both </w:t>
      </w:r>
      <w:r w:rsidR="00403EDB">
        <w:t xml:space="preserve">cat model vendors and </w:t>
      </w:r>
      <w:r w:rsidR="00D76085">
        <w:t>insurers</w:t>
      </w:r>
      <w:r w:rsidR="00044259">
        <w:t xml:space="preserve"> </w:t>
      </w:r>
      <w:r w:rsidR="00A52D1D">
        <w:t xml:space="preserve">purchasing them </w:t>
      </w:r>
      <w:r w:rsidR="00044259">
        <w:t xml:space="preserve">prefer relatively precise probabilities, not least </w:t>
      </w:r>
      <w:r w:rsidR="00403EDB">
        <w:t>of</w:t>
      </w:r>
      <w:r w:rsidR="00184C38">
        <w:t xml:space="preserve"> which</w:t>
      </w:r>
      <w:r w:rsidR="00C36390">
        <w:t xml:space="preserve"> are</w:t>
      </w:r>
      <w:r w:rsidR="00184C38">
        <w:t xml:space="preserve"> the </w:t>
      </w:r>
      <w:r w:rsidR="00044259">
        <w:t xml:space="preserve">requirements imposed by regulators. </w:t>
      </w:r>
    </w:p>
    <w:p w14:paraId="3C6BBF86" w14:textId="19BFAC6E" w:rsidR="00F57680" w:rsidRDefault="00044259" w:rsidP="004F4B8F">
      <w:pPr>
        <w:autoSpaceDE w:val="0"/>
        <w:autoSpaceDN w:val="0"/>
        <w:adjustRightInd w:val="0"/>
        <w:spacing w:before="120" w:after="240" w:line="360" w:lineRule="auto"/>
      </w:pPr>
      <w:r>
        <w:t xml:space="preserve">The prevailing </w:t>
      </w:r>
      <w:r w:rsidR="00AD148A">
        <w:t xml:space="preserve">working </w:t>
      </w:r>
      <w:r w:rsidR="00184C38">
        <w:t xml:space="preserve">solution </w:t>
      </w:r>
      <w:r>
        <w:t xml:space="preserve">to this problem </w:t>
      </w:r>
      <w:r w:rsidR="00184C38">
        <w:t xml:space="preserve">amongst vendors </w:t>
      </w:r>
      <w:r w:rsidR="00483067">
        <w:t>of cat models</w:t>
      </w:r>
      <w:r w:rsidR="00A13B22">
        <w:t>, and some users of them,</w:t>
      </w:r>
      <w:r w:rsidR="00483067">
        <w:t xml:space="preserve"> </w:t>
      </w:r>
      <w:r w:rsidR="0016699B">
        <w:t>is</w:t>
      </w:r>
      <w:r>
        <w:t xml:space="preserve"> to achieve the required precision by averaging</w:t>
      </w:r>
      <w:r w:rsidR="00184C38">
        <w:t xml:space="preserve"> the </w:t>
      </w:r>
      <w:r w:rsidR="00D76085">
        <w:t xml:space="preserve">outputs </w:t>
      </w:r>
      <w:r w:rsidR="00184C38">
        <w:t xml:space="preserve">of the different models </w:t>
      </w:r>
      <w:r w:rsidR="00FA6593">
        <w:t>under</w:t>
      </w:r>
      <w:r w:rsidR="00184C38">
        <w:t xml:space="preserve"> consider</w:t>
      </w:r>
      <w:r w:rsidR="00FA6593">
        <w:t>ation</w:t>
      </w:r>
      <w:r w:rsidR="00184C38">
        <w:t xml:space="preserve">, </w:t>
      </w:r>
      <w:r w:rsidR="00896921">
        <w:t>weighting the models in terms of skill</w:t>
      </w:r>
      <w:r w:rsidR="00993C5C">
        <w:t xml:space="preserve"> (typically using</w:t>
      </w:r>
      <w:r w:rsidR="00184C38">
        <w:t xml:space="preserve"> hindcasting</w:t>
      </w:r>
      <w:r w:rsidR="00993C5C">
        <w:t xml:space="preserve"> to determine skill weights)</w:t>
      </w:r>
      <w:r w:rsidR="00FA6593">
        <w:t xml:space="preserve">. </w:t>
      </w:r>
      <w:r w:rsidR="00502636">
        <w:t xml:space="preserve">There are however </w:t>
      </w:r>
      <w:proofErr w:type="gramStart"/>
      <w:r w:rsidR="00502636">
        <w:t>a number of</w:t>
      </w:r>
      <w:proofErr w:type="gramEnd"/>
      <w:r w:rsidR="00502636">
        <w:t xml:space="preserve"> </w:t>
      </w:r>
      <w:r w:rsidR="00A25C7F">
        <w:t>limitations to this method</w:t>
      </w:r>
      <w:r w:rsidR="00490555">
        <w:t xml:space="preserve"> (see Roussos et al 2020)</w:t>
      </w:r>
      <w:r w:rsidR="00A25C7F">
        <w:t>. In the first place, it is only sensible to a</w:t>
      </w:r>
      <w:r w:rsidR="00184C38">
        <w:t>v</w:t>
      </w:r>
      <w:r w:rsidR="00F57680">
        <w:t>erag</w:t>
      </w:r>
      <w:r w:rsidR="00490555">
        <w:t>e</w:t>
      </w:r>
      <w:r w:rsidR="00F57680">
        <w:t xml:space="preserve"> model outputs under very specific conditions</w:t>
      </w:r>
      <w:r w:rsidR="007C7B86">
        <w:t>, such as</w:t>
      </w:r>
      <w:r w:rsidR="00F57680">
        <w:t xml:space="preserve"> </w:t>
      </w:r>
      <w:r w:rsidR="00176993">
        <w:t>when</w:t>
      </w:r>
      <w:r w:rsidR="00F57680">
        <w:t xml:space="preserve"> the structural assumptions underlying them are sufficiently similar. </w:t>
      </w:r>
      <w:r w:rsidR="007C7B86">
        <w:t xml:space="preserve">This condition is not met in </w:t>
      </w:r>
      <w:r w:rsidR="00ED6268">
        <w:t xml:space="preserve">much catastrophe modelling </w:t>
      </w:r>
      <w:r w:rsidR="00763F4F">
        <w:rPr>
          <w:rFonts w:cs="Times New Roman"/>
        </w:rPr>
        <w:t xml:space="preserve"> </w:t>
      </w:r>
      <w:r w:rsidR="00763F4F">
        <w:rPr>
          <w:rFonts w:cs="Times New Roman"/>
        </w:rPr>
        <w:fldChar w:fldCharType="begin"/>
      </w:r>
      <w:r w:rsidR="00763F4F">
        <w:rPr>
          <w:rFonts w:cs="Times New Roman"/>
        </w:rPr>
        <w:instrText xml:space="preserve"> ADDIN ZOTERO_ITEM CSL_CITATION {"citationID":"VfCAKPK7","properties":{"formattedCitation":"(Philp et al. 2019)","plainCitation":"(Philp et al. 2019)","noteIndex":0},"citationItems":[{"id":803,"uris":["http://zotero.org/users/5901618/items/XNBQP46P"],"uri":["http://zotero.org/users/5901618/items/XNBQP46P"],"itemData":{"id":803,"type":"chapter","collection-title":"Hurricane Risk","container-title":"Hurricane Risk","publisher":"Springer International","title":"Issues of importance to the (re)insurance industry: a timescale perspective","volume":"1","author":[{"family":"Philp","given":"Tom"},{"family":"Sabbatelli","given":"Tom"},{"family":"Roberston","given":"C"},{"family":"Wilson","given":"Paul"}],"editor":[{"family":"Collins","given":"Jennifer"},{"family":"Walsh","given":"Kevin"}],"issued":{"date-parts":[["2019"]]}}}],"schema":"https://github.com/citation-style-language/schema/raw/master/csl-citation.json"} </w:instrText>
      </w:r>
      <w:r w:rsidR="00763F4F">
        <w:rPr>
          <w:rFonts w:cs="Times New Roman"/>
        </w:rPr>
        <w:fldChar w:fldCharType="separate"/>
      </w:r>
      <w:r w:rsidR="00763F4F" w:rsidRPr="0068784F">
        <w:rPr>
          <w:rFonts w:cs="Times New Roman"/>
        </w:rPr>
        <w:t>(Philp et al. 2019)</w:t>
      </w:r>
      <w:r w:rsidR="00763F4F">
        <w:rPr>
          <w:rFonts w:cs="Times New Roman"/>
        </w:rPr>
        <w:fldChar w:fldCharType="end"/>
      </w:r>
      <w:r w:rsidR="00763F4F">
        <w:t xml:space="preserve">. </w:t>
      </w:r>
      <w:r w:rsidR="00D742E5">
        <w:t xml:space="preserve">Secondly, </w:t>
      </w:r>
      <w:r w:rsidR="00D742E5" w:rsidRPr="00810637">
        <w:rPr>
          <w:rFonts w:cs="Times New Roman"/>
          <w:color w:val="000000"/>
          <w:szCs w:val="24"/>
        </w:rPr>
        <w:t>t</w:t>
      </w:r>
      <w:r w:rsidR="00D742E5" w:rsidRPr="00810637">
        <w:rPr>
          <w:rFonts w:cs="Times New Roman"/>
        </w:rPr>
        <w:t>he historical dataset used to score these models is</w:t>
      </w:r>
      <w:r w:rsidR="00CF5C7F">
        <w:rPr>
          <w:rFonts w:cs="Times New Roman"/>
        </w:rPr>
        <w:t xml:space="preserve"> typically small because the </w:t>
      </w:r>
      <w:r w:rsidR="009337BC">
        <w:rPr>
          <w:rFonts w:cs="Times New Roman"/>
        </w:rPr>
        <w:t xml:space="preserve">events that matter </w:t>
      </w:r>
      <w:r w:rsidR="00486FF7">
        <w:rPr>
          <w:rFonts w:cs="Times New Roman"/>
        </w:rPr>
        <w:t>most (</w:t>
      </w:r>
      <w:r w:rsidR="00893AEC">
        <w:rPr>
          <w:rFonts w:cs="Times New Roman"/>
        </w:rPr>
        <w:t>the ones that</w:t>
      </w:r>
      <w:r w:rsidR="00486FF7">
        <w:rPr>
          <w:rFonts w:cs="Times New Roman"/>
        </w:rPr>
        <w:t xml:space="preserve"> cause the most damage) are</w:t>
      </w:r>
      <w:r w:rsidR="009337BC">
        <w:rPr>
          <w:rFonts w:cs="Times New Roman"/>
        </w:rPr>
        <w:t xml:space="preserve"> rare.</w:t>
      </w:r>
      <w:r w:rsidR="00D742E5" w:rsidRPr="00810637">
        <w:rPr>
          <w:rFonts w:cs="Times New Roman"/>
        </w:rPr>
        <w:t xml:space="preserve"> </w:t>
      </w:r>
      <w:r w:rsidR="00893AEC">
        <w:rPr>
          <w:rFonts w:cs="Times New Roman"/>
        </w:rPr>
        <w:t>Consequently</w:t>
      </w:r>
      <w:r w:rsidR="005D45E4">
        <w:rPr>
          <w:rFonts w:cs="Times New Roman"/>
        </w:rPr>
        <w:t xml:space="preserve">, </w:t>
      </w:r>
      <w:r w:rsidR="00993C5C">
        <w:rPr>
          <w:rFonts w:cs="Times New Roman"/>
        </w:rPr>
        <w:t>hindcasting</w:t>
      </w:r>
      <w:r w:rsidR="00C350F5">
        <w:rPr>
          <w:rFonts w:cs="Times New Roman"/>
        </w:rPr>
        <w:t xml:space="preserve"> against this dataset </w:t>
      </w:r>
      <w:r w:rsidR="000D7670">
        <w:rPr>
          <w:rFonts w:cs="Times New Roman"/>
        </w:rPr>
        <w:t xml:space="preserve">does not significantly distinguish models. </w:t>
      </w:r>
      <w:r w:rsidR="00FD4BF1">
        <w:t xml:space="preserve">Thirdly, </w:t>
      </w:r>
      <w:r w:rsidR="00B460C3" w:rsidRPr="00810637">
        <w:rPr>
          <w:rFonts w:cs="Times New Roman"/>
        </w:rPr>
        <w:t xml:space="preserve">the range of scoring rules on offer is so diverse that almost any reasonable answer could be selected by </w:t>
      </w:r>
      <w:r w:rsidR="00B460C3" w:rsidRPr="00810637">
        <w:rPr>
          <w:rFonts w:cs="Times New Roman"/>
          <w:i/>
        </w:rPr>
        <w:t>one</w:t>
      </w:r>
      <w:r w:rsidR="00B460C3" w:rsidRPr="00810637">
        <w:rPr>
          <w:rFonts w:cs="Times New Roman"/>
        </w:rPr>
        <w:t xml:space="preserve"> of them </w:t>
      </w:r>
      <w:r w:rsidR="00B460C3" w:rsidRPr="00810637">
        <w:rPr>
          <w:rFonts w:cs="Times New Roman"/>
        </w:rPr>
        <w:fldChar w:fldCharType="begin"/>
      </w:r>
      <w:r w:rsidR="00B460C3">
        <w:rPr>
          <w:rFonts w:cs="Times New Roman"/>
        </w:rPr>
        <w:instrText xml:space="preserve"> ADDIN ZOTERO_ITEM CSL_CITATION {"citationID":"HZTuIGI2","properties":{"formattedCitation":"(Stainforth, Allen, et al. 2007, 2155)","plainCitation":"(Stainforth, Allen, et al. 2007, 2155)","noteIndex":0},"citationItems":[{"id":"3IsVL8y1/Tiuvff5V","uris":["http://www.mendeley.com/documents/?uuid=0e17ffad-f7e5-439c-bafc-94e60101eab3"],"uri":["http://www.mendeley.com/documents/?uuid=0e17ffad-f7e5-439c-bafc-94e60101eab3"],"itemData":{"DOI":"10.1098/rsta.2007.2074","author":[{"dropping-particle":"","family":"Stainforth","given":"David A.","non-dropping-particle":"","parse-names":false,"suffix":""},{"dropping-particle":"","family":"Allen","given":"M.R.","non-dropping-particle":"","parse-names":false,"suffix":""},{"dropping-particle":"","family":"Tredger","given":"E.R.","non-dropping-particle":"","parse-names":false,"suffix":""},{"dropping-particle":"","family":"Smith","given":"Leonard","non-dropping-particle":"","parse-names":false,"suffix":""}],"container-title":"Philosophical Transactions of the Royal Society A: Mathematical, Physical and Engineering Sciences","id":"Uz9FPxnk/csrwagwf","issue":"June","issued":{"date-parts":[["2007"]]},"page":"2145-2161","title":"Confidence, uncertainty and decision-support relevance in climate predictions","type":"article-journal","volume":"365"},"locator":"2155"}],"schema":"https://github.com/citation-style-language/schema/raw/master/csl-citation.json"} </w:instrText>
      </w:r>
      <w:r w:rsidR="00B460C3" w:rsidRPr="00810637">
        <w:rPr>
          <w:rFonts w:cs="Times New Roman"/>
        </w:rPr>
        <w:fldChar w:fldCharType="separate"/>
      </w:r>
      <w:r w:rsidR="00B460C3" w:rsidRPr="00810637">
        <w:rPr>
          <w:rFonts w:cs="Times New Roman"/>
        </w:rPr>
        <w:t>(Stainforth et al. 2007)</w:t>
      </w:r>
      <w:r w:rsidR="00B460C3" w:rsidRPr="00810637">
        <w:rPr>
          <w:rFonts w:cs="Times New Roman"/>
        </w:rPr>
        <w:fldChar w:fldCharType="end"/>
      </w:r>
      <w:r w:rsidR="00B460C3" w:rsidRPr="00810637">
        <w:rPr>
          <w:rFonts w:cs="Times New Roman"/>
        </w:rPr>
        <w:t>.</w:t>
      </w:r>
      <w:r w:rsidR="00C71FD8">
        <w:t xml:space="preserve"> </w:t>
      </w:r>
      <w:r w:rsidR="001528AC">
        <w:t>So</w:t>
      </w:r>
      <w:r w:rsidR="00C87301">
        <w:t>,</w:t>
      </w:r>
      <w:r w:rsidR="001528AC">
        <w:t xml:space="preserve"> the question remains of which one to select. </w:t>
      </w:r>
      <w:r w:rsidR="00490555">
        <w:t>Finally,</w:t>
      </w:r>
      <w:r w:rsidR="00D4561A">
        <w:t xml:space="preserve"> in </w:t>
      </w:r>
      <w:r w:rsidR="00D4561A">
        <w:lastRenderedPageBreak/>
        <w:t>practice</w:t>
      </w:r>
      <w:r w:rsidR="00490555">
        <w:t xml:space="preserve"> </w:t>
      </w:r>
      <w:r w:rsidR="00AD3FB8">
        <w:t xml:space="preserve">it doesn’t entirely solve the problem for </w:t>
      </w:r>
      <w:r w:rsidR="001B04D0">
        <w:t xml:space="preserve">the insurer since the projections based on such averaging </w:t>
      </w:r>
      <w:r w:rsidR="00D4561A">
        <w:t xml:space="preserve">techniques </w:t>
      </w:r>
      <w:r w:rsidR="001B04D0">
        <w:t xml:space="preserve">still </w:t>
      </w:r>
      <w:r w:rsidR="0021252A">
        <w:t xml:space="preserve">often </w:t>
      </w:r>
      <w:r w:rsidR="001B04D0">
        <w:t>differ from vendor to vendor</w:t>
      </w:r>
      <w:r w:rsidR="00D4561A">
        <w:t xml:space="preserve"> and so the insurer is still confronted with a range of estimates.</w:t>
      </w:r>
    </w:p>
    <w:p w14:paraId="3E145716" w14:textId="4F22F848" w:rsidR="0058128F" w:rsidRDefault="0058128F" w:rsidP="001F6E93">
      <w:pPr>
        <w:autoSpaceDE w:val="0"/>
        <w:autoSpaceDN w:val="0"/>
        <w:adjustRightInd w:val="0"/>
        <w:spacing w:before="120" w:after="240" w:line="360" w:lineRule="auto"/>
      </w:pPr>
      <w:r>
        <w:t xml:space="preserve">An alternative </w:t>
      </w:r>
      <w:r w:rsidR="00ED7B49">
        <w:t xml:space="preserve">strategy </w:t>
      </w:r>
      <w:r w:rsidR="000001F9">
        <w:t xml:space="preserve">to averaging </w:t>
      </w:r>
      <w:r w:rsidR="00B21055">
        <w:t>over the space of all models is to restrict the set of mode</w:t>
      </w:r>
      <w:r w:rsidR="006B248D">
        <w:t xml:space="preserve">ls to </w:t>
      </w:r>
      <w:r w:rsidR="003A2A8B">
        <w:t>be</w:t>
      </w:r>
      <w:r w:rsidR="006B248D">
        <w:t xml:space="preserve"> considered to </w:t>
      </w:r>
      <w:r w:rsidR="00104B39">
        <w:t>those</w:t>
      </w:r>
      <w:r w:rsidR="006B248D">
        <w:t xml:space="preserve"> meeting some criterion, </w:t>
      </w:r>
      <w:proofErr w:type="gramStart"/>
      <w:r w:rsidR="006B248D">
        <w:t>e.g.</w:t>
      </w:r>
      <w:proofErr w:type="gramEnd"/>
      <w:r w:rsidR="006B248D">
        <w:t xml:space="preserve"> to those </w:t>
      </w:r>
      <w:r w:rsidR="00031FCE">
        <w:t xml:space="preserve">of </w:t>
      </w:r>
      <w:r w:rsidR="006B248D">
        <w:t xml:space="preserve">reliability </w:t>
      </w:r>
      <w:r w:rsidR="00031FCE">
        <w:t xml:space="preserve">greater than some </w:t>
      </w:r>
      <w:r w:rsidR="006B248D">
        <w:t>threshold (</w:t>
      </w:r>
      <w:r w:rsidR="00CD1804">
        <w:t xml:space="preserve">as in </w:t>
      </w:r>
      <w:proofErr w:type="spellStart"/>
      <w:r w:rsidR="00467529">
        <w:t>Gärdenfors</w:t>
      </w:r>
      <w:proofErr w:type="spellEnd"/>
      <w:r w:rsidR="00662571">
        <w:t xml:space="preserve"> and </w:t>
      </w:r>
      <w:proofErr w:type="spellStart"/>
      <w:r w:rsidR="00662571">
        <w:t>Sahlin</w:t>
      </w:r>
      <w:proofErr w:type="spellEnd"/>
      <w:r w:rsidR="00FB2083">
        <w:t>,</w:t>
      </w:r>
      <w:r w:rsidR="00662571">
        <w:t xml:space="preserve"> 1982</w:t>
      </w:r>
      <w:r w:rsidR="00D62CD8">
        <w:t xml:space="preserve">) or </w:t>
      </w:r>
      <w:r>
        <w:t xml:space="preserve">those </w:t>
      </w:r>
      <w:r w:rsidR="00D62CD8">
        <w:t xml:space="preserve">that lie </w:t>
      </w:r>
      <w:r>
        <w:t>within some specified distance from the ‘best’ one</w:t>
      </w:r>
      <w:r w:rsidR="009866B9">
        <w:t xml:space="preserve">, relative to some </w:t>
      </w:r>
      <w:r w:rsidR="00CD1804">
        <w:t>metric on the space of models</w:t>
      </w:r>
      <w:r>
        <w:t xml:space="preserve"> (as in Hansen and Sargent</w:t>
      </w:r>
      <w:r w:rsidR="00E94CDB">
        <w:t>,</w:t>
      </w:r>
      <w:r>
        <w:t xml:space="preserve"> 198</w:t>
      </w:r>
      <w:r w:rsidR="009153BD">
        <w:t>2</w:t>
      </w:r>
      <w:r>
        <w:t>)</w:t>
      </w:r>
      <w:r w:rsidR="00D62CD8">
        <w:t xml:space="preserve">. </w:t>
      </w:r>
      <w:r w:rsidR="00031FCE">
        <w:t xml:space="preserve">To </w:t>
      </w:r>
      <w:r w:rsidR="004D7D11">
        <w:t xml:space="preserve">implement </w:t>
      </w:r>
      <w:r w:rsidR="00ED7B49">
        <w:t>this strategy</w:t>
      </w:r>
      <w:r w:rsidR="002B1E87">
        <w:t xml:space="preserve">, we need </w:t>
      </w:r>
      <w:r w:rsidR="002E2EC2">
        <w:t xml:space="preserve">to be able to say what the criterion </w:t>
      </w:r>
      <w:r w:rsidR="00FD1A2C">
        <w:t xml:space="preserve">for inclusion </w:t>
      </w:r>
      <w:r w:rsidR="002E2EC2">
        <w:t>should be: how reliable a model must b</w:t>
      </w:r>
      <w:r w:rsidR="009866B9">
        <w:t>e, for instance, or how close it must be</w:t>
      </w:r>
      <w:r w:rsidR="00443837">
        <w:t xml:space="preserve"> to the reference one</w:t>
      </w:r>
      <w:r w:rsidR="00084EC3">
        <w:t xml:space="preserve"> </w:t>
      </w:r>
      <w:proofErr w:type="gramStart"/>
      <w:r w:rsidR="00084EC3">
        <w:t>in order to</w:t>
      </w:r>
      <w:proofErr w:type="gramEnd"/>
      <w:r w:rsidR="00084EC3">
        <w:t xml:space="preserve"> be considered</w:t>
      </w:r>
      <w:r w:rsidR="00443837">
        <w:t>.</w:t>
      </w:r>
      <w:r w:rsidR="0046546D">
        <w:t xml:space="preserve"> </w:t>
      </w:r>
      <w:r w:rsidR="00FD1A2C">
        <w:t>W</w:t>
      </w:r>
      <w:r w:rsidR="00E73D77">
        <w:t>ithout</w:t>
      </w:r>
      <w:r w:rsidR="00FD1A2C">
        <w:t xml:space="preserve"> this, there is a risk of introducing a</w:t>
      </w:r>
      <w:r w:rsidR="006460F3">
        <w:t>n ad hoc filter on decision inputs.</w:t>
      </w:r>
      <w:r w:rsidR="00443837">
        <w:t xml:space="preserve"> </w:t>
      </w:r>
    </w:p>
    <w:p w14:paraId="4A2BE88B" w14:textId="299BC02C" w:rsidR="001B5C77" w:rsidRDefault="00E946DE" w:rsidP="001F6E93">
      <w:pPr>
        <w:autoSpaceDE w:val="0"/>
        <w:autoSpaceDN w:val="0"/>
        <w:adjustRightInd w:val="0"/>
        <w:spacing w:before="120" w:after="240" w:line="360" w:lineRule="auto"/>
      </w:pPr>
      <w:r>
        <w:t>Let us step back and consider w</w:t>
      </w:r>
      <w:r w:rsidR="001F1F08">
        <w:t xml:space="preserve">hat is at stake </w:t>
      </w:r>
      <w:r w:rsidR="00111F5E">
        <w:t>here</w:t>
      </w:r>
      <w:r>
        <w:t>.</w:t>
      </w:r>
      <w:r w:rsidR="001F1F08">
        <w:t xml:space="preserve"> </w:t>
      </w:r>
      <w:r w:rsidR="005A03FA">
        <w:t>Any choice of set of probability distributions amounts in effect to a compromise between robustness and specificity. Suppose a decision depends on some parameter (say rainfall) and consider the set of all probability distributions ov</w:t>
      </w:r>
      <w:r w:rsidR="007C3AAD">
        <w:t>er its</w:t>
      </w:r>
      <w:r>
        <w:t xml:space="preserve"> values (see F</w:t>
      </w:r>
      <w:r w:rsidR="001B5C77">
        <w:t>igure I</w:t>
      </w:r>
      <w:r w:rsidR="005A03FA">
        <w:t xml:space="preserve"> below). Any subset of them corresponds to a set of claims about</w:t>
      </w:r>
      <w:r w:rsidR="007C3AAD">
        <w:t>, or estimates of,</w:t>
      </w:r>
      <w:r w:rsidR="005A03FA">
        <w:t xml:space="preserve"> </w:t>
      </w:r>
      <w:r w:rsidR="005A03FA">
        <w:rPr>
          <w:rFonts w:cstheme="minorHAnsi"/>
        </w:rPr>
        <w:t>these values, namely those that are supported by all distributions in that subset. Small sets determine fine-gra</w:t>
      </w:r>
      <w:r w:rsidR="007C3AAD">
        <w:rPr>
          <w:rFonts w:cstheme="minorHAnsi"/>
        </w:rPr>
        <w:t xml:space="preserve">ined, </w:t>
      </w:r>
      <w:r w:rsidR="005A03FA">
        <w:rPr>
          <w:rFonts w:cstheme="minorHAnsi"/>
        </w:rPr>
        <w:t>precise claims such</w:t>
      </w:r>
      <w:r w:rsidR="005B7F85">
        <w:rPr>
          <w:rFonts w:cstheme="minorHAnsi"/>
        </w:rPr>
        <w:t xml:space="preserve"> as</w:t>
      </w:r>
      <w:r w:rsidR="005A03FA">
        <w:rPr>
          <w:rFonts w:cstheme="minorHAnsi"/>
        </w:rPr>
        <w:t xml:space="preserve"> that</w:t>
      </w:r>
      <w:r w:rsidR="00E57A4A">
        <w:rPr>
          <w:rFonts w:cstheme="minorHAnsi"/>
        </w:rPr>
        <w:t xml:space="preserve"> (E)</w:t>
      </w:r>
      <w:r w:rsidR="005A03FA">
        <w:rPr>
          <w:rFonts w:cstheme="minorHAnsi"/>
        </w:rPr>
        <w:t xml:space="preserve"> </w:t>
      </w:r>
      <w:r w:rsidR="002719B6">
        <w:rPr>
          <w:rFonts w:cstheme="minorHAnsi"/>
        </w:rPr>
        <w:t xml:space="preserve">the </w:t>
      </w:r>
      <w:r w:rsidR="00E57A4A">
        <w:rPr>
          <w:rFonts w:cstheme="minorHAnsi"/>
        </w:rPr>
        <w:t xml:space="preserve">probability </w:t>
      </w:r>
      <w:r w:rsidR="002719B6">
        <w:rPr>
          <w:rFonts w:cstheme="minorHAnsi"/>
        </w:rPr>
        <w:t>of flooding is 0.2</w:t>
      </w:r>
      <w:r w:rsidR="001E48DC">
        <w:rPr>
          <w:rFonts w:cstheme="minorHAnsi"/>
        </w:rPr>
        <w:t>5</w:t>
      </w:r>
      <w:r w:rsidR="007C3AAD">
        <w:rPr>
          <w:rFonts w:cstheme="minorHAnsi"/>
        </w:rPr>
        <w:t xml:space="preserve">; larger ones </w:t>
      </w:r>
      <w:proofErr w:type="gramStart"/>
      <w:r w:rsidR="007C3AAD">
        <w:rPr>
          <w:rFonts w:cstheme="minorHAnsi"/>
        </w:rPr>
        <w:t>claims</w:t>
      </w:r>
      <w:proofErr w:type="gramEnd"/>
      <w:r w:rsidR="007C3AAD">
        <w:rPr>
          <w:rFonts w:cstheme="minorHAnsi"/>
        </w:rPr>
        <w:t xml:space="preserve"> that are either more coar</w:t>
      </w:r>
      <w:r w:rsidR="005B7F85">
        <w:rPr>
          <w:rFonts w:cstheme="minorHAnsi"/>
        </w:rPr>
        <w:t>se-grained or less precise</w:t>
      </w:r>
      <w:r w:rsidR="00E57A4A">
        <w:rPr>
          <w:rFonts w:cstheme="minorHAnsi"/>
        </w:rPr>
        <w:t xml:space="preserve">, such as that </w:t>
      </w:r>
      <w:r w:rsidR="008868EC">
        <w:rPr>
          <w:rFonts w:cstheme="minorHAnsi"/>
        </w:rPr>
        <w:t xml:space="preserve">(F) </w:t>
      </w:r>
      <w:r w:rsidR="00E57A4A">
        <w:rPr>
          <w:rFonts w:cstheme="minorHAnsi"/>
        </w:rPr>
        <w:t xml:space="preserve">the probability </w:t>
      </w:r>
      <w:r w:rsidR="002719B6">
        <w:rPr>
          <w:rFonts w:cstheme="minorHAnsi"/>
        </w:rPr>
        <w:t>of flooding is between 0.2 and 0.3</w:t>
      </w:r>
      <w:r w:rsidR="005B7F85">
        <w:rPr>
          <w:rFonts w:cstheme="minorHAnsi"/>
        </w:rPr>
        <w:t>. B</w:t>
      </w:r>
      <w:r w:rsidR="007C3AAD">
        <w:rPr>
          <w:rFonts w:cstheme="minorHAnsi"/>
        </w:rPr>
        <w:t>asing a decision on a more precise estimate s</w:t>
      </w:r>
      <w:r w:rsidR="00EF074C">
        <w:rPr>
          <w:rFonts w:cstheme="minorHAnsi"/>
        </w:rPr>
        <w:t xml:space="preserve">erves the goal of optimisation: </w:t>
      </w:r>
      <w:r w:rsidR="005B7F85">
        <w:rPr>
          <w:rFonts w:cstheme="minorHAnsi"/>
        </w:rPr>
        <w:t xml:space="preserve">this </w:t>
      </w:r>
      <w:r w:rsidR="00A77DEE">
        <w:rPr>
          <w:rFonts w:cstheme="minorHAnsi"/>
        </w:rPr>
        <w:t xml:space="preserve">is what </w:t>
      </w:r>
      <w:r w:rsidR="005B7F85">
        <w:rPr>
          <w:rFonts w:cstheme="minorHAnsi"/>
        </w:rPr>
        <w:t>makes information</w:t>
      </w:r>
      <w:r w:rsidR="007C3AAD">
        <w:rPr>
          <w:rFonts w:cstheme="minorHAnsi"/>
        </w:rPr>
        <w:t xml:space="preserve"> valuable</w:t>
      </w:r>
      <w:r w:rsidR="00A77DEE">
        <w:rPr>
          <w:rFonts w:cstheme="minorHAnsi"/>
        </w:rPr>
        <w:t xml:space="preserve"> to decision makers. On the other hand,</w:t>
      </w:r>
      <w:r w:rsidR="007C3AAD">
        <w:rPr>
          <w:rFonts w:cstheme="minorHAnsi"/>
        </w:rPr>
        <w:t xml:space="preserve"> basing the decision on a l</w:t>
      </w:r>
      <w:r w:rsidR="004E5ED0">
        <w:rPr>
          <w:rFonts w:cstheme="minorHAnsi"/>
        </w:rPr>
        <w:t>ess precise</w:t>
      </w:r>
      <w:r w:rsidR="007C3AAD">
        <w:rPr>
          <w:rFonts w:cstheme="minorHAnsi"/>
        </w:rPr>
        <w:t xml:space="preserve"> set confers robustness on it in the sense that it will have acceptable consequences over a wider range of possible contingencies. If too little specificity is </w:t>
      </w:r>
      <w:proofErr w:type="gramStart"/>
      <w:r w:rsidR="007C3AAD">
        <w:rPr>
          <w:rFonts w:cstheme="minorHAnsi"/>
        </w:rPr>
        <w:t>sought</w:t>
      </w:r>
      <w:proofErr w:type="gramEnd"/>
      <w:r w:rsidR="007C3AAD">
        <w:rPr>
          <w:rFonts w:cstheme="minorHAnsi"/>
        </w:rPr>
        <w:t xml:space="preserve"> then either no action will be sanctioned (if drawing on the first class of rules</w:t>
      </w:r>
      <w:r w:rsidR="00A77DEE">
        <w:rPr>
          <w:rFonts w:cstheme="minorHAnsi"/>
        </w:rPr>
        <w:t xml:space="preserve"> for decision making under ambiguity</w:t>
      </w:r>
      <w:r w:rsidR="007C3AAD">
        <w:rPr>
          <w:rFonts w:cstheme="minorHAnsi"/>
        </w:rPr>
        <w:t xml:space="preserve">) or only very </w:t>
      </w:r>
      <w:r w:rsidR="007C3AAD">
        <w:rPr>
          <w:rFonts w:cstheme="minorHAnsi"/>
        </w:rPr>
        <w:lastRenderedPageBreak/>
        <w:t xml:space="preserve">cautious ones will (if drawing from the second). If too much </w:t>
      </w:r>
      <w:r w:rsidR="00783E10">
        <w:rPr>
          <w:rFonts w:cstheme="minorHAnsi"/>
        </w:rPr>
        <w:t xml:space="preserve">specificity </w:t>
      </w:r>
      <w:r w:rsidR="007C3AAD">
        <w:rPr>
          <w:rFonts w:cstheme="minorHAnsi"/>
        </w:rPr>
        <w:t>is sought, then confidence in the</w:t>
      </w:r>
      <w:r w:rsidR="00FA3BFB">
        <w:rPr>
          <w:rFonts w:cstheme="minorHAnsi"/>
        </w:rPr>
        <w:t xml:space="preserve"> correctness of the</w:t>
      </w:r>
      <w:r w:rsidR="007C3AAD">
        <w:rPr>
          <w:rFonts w:cstheme="minorHAnsi"/>
        </w:rPr>
        <w:t xml:space="preserve"> decision must be sacrificed. </w:t>
      </w:r>
    </w:p>
    <w:p w14:paraId="355E0DBE" w14:textId="5BF897CC" w:rsidR="00E57A4A" w:rsidRDefault="001B5C77" w:rsidP="004F4B8F">
      <w:pPr>
        <w:spacing w:before="120" w:after="240" w:line="360" w:lineRule="auto"/>
      </w:pPr>
      <w:r>
        <w:t>[Insert Figure I here]</w:t>
      </w:r>
    </w:p>
    <w:p w14:paraId="2307C364" w14:textId="30908688" w:rsidR="00E946DE" w:rsidRDefault="00A83082" w:rsidP="004F4B8F">
      <w:pPr>
        <w:autoSpaceDE w:val="0"/>
        <w:autoSpaceDN w:val="0"/>
        <w:adjustRightInd w:val="0"/>
        <w:spacing w:before="120" w:after="240" w:line="360" w:lineRule="auto"/>
      </w:pPr>
      <w:r>
        <w:t>This</w:t>
      </w:r>
      <w:r w:rsidR="00EF60FD">
        <w:t xml:space="preserve"> trade-off betwe</w:t>
      </w:r>
      <w:r w:rsidR="005B7F85">
        <w:t>en specificity and robustness can be</w:t>
      </w:r>
      <w:r w:rsidR="00EF60FD">
        <w:t xml:space="preserve"> represented</w:t>
      </w:r>
      <w:r w:rsidR="005B7F85">
        <w:t xml:space="preserve"> </w:t>
      </w:r>
      <w:r w:rsidR="00EF60FD">
        <w:t>by a confidence ranking of sets of probability distributions o</w:t>
      </w:r>
      <w:r w:rsidR="00A77DEE">
        <w:t xml:space="preserve">f the kind </w:t>
      </w:r>
      <w:r w:rsidR="00E946DE">
        <w:t>illustrated in F</w:t>
      </w:r>
      <w:r w:rsidR="00DA0DC2">
        <w:t>igure II</w:t>
      </w:r>
      <w:r w:rsidR="00EF60FD">
        <w:t xml:space="preserve"> below, where the inner</w:t>
      </w:r>
      <w:r w:rsidR="00176993">
        <w:t>,</w:t>
      </w:r>
      <w:r w:rsidR="00EF60FD">
        <w:t xml:space="preserve"> </w:t>
      </w:r>
      <w:proofErr w:type="gramStart"/>
      <w:r w:rsidR="00FB2844">
        <w:t>darkly-filled</w:t>
      </w:r>
      <w:proofErr w:type="gramEnd"/>
      <w:r w:rsidR="00FB2844">
        <w:t xml:space="preserve"> </w:t>
      </w:r>
      <w:r w:rsidR="00EF60FD">
        <w:t>set represents the ‘best’ probability distributions and e</w:t>
      </w:r>
      <w:r>
        <w:t>ach of the outer</w:t>
      </w:r>
      <w:r w:rsidR="00176993">
        <w:t>,</w:t>
      </w:r>
      <w:r>
        <w:t xml:space="preserve"> </w:t>
      </w:r>
      <w:r w:rsidR="00176993">
        <w:t>lighter-</w:t>
      </w:r>
      <w:r w:rsidR="00FB2844">
        <w:t xml:space="preserve">filled </w:t>
      </w:r>
      <w:r>
        <w:t>sets contains</w:t>
      </w:r>
      <w:r w:rsidR="00EF60FD">
        <w:t xml:space="preserve"> a sufficiently expanded set of distributions to confer greater confidence on the judgements that it supports than any set of distributions contained within it. </w:t>
      </w:r>
      <w:r w:rsidR="00FB2844">
        <w:t>(</w:t>
      </w:r>
      <w:r>
        <w:t>Only</w:t>
      </w:r>
      <w:r w:rsidR="00EF60FD">
        <w:t xml:space="preserve"> three confidence levels are exhibited</w:t>
      </w:r>
      <w:r>
        <w:t xml:space="preserve"> in this figure</w:t>
      </w:r>
      <w:r w:rsidR="00EF60FD">
        <w:t xml:space="preserve">, </w:t>
      </w:r>
      <w:r w:rsidR="00C01A48">
        <w:t xml:space="preserve">but </w:t>
      </w:r>
      <w:r w:rsidR="00176993">
        <w:t xml:space="preserve">in principle </w:t>
      </w:r>
      <w:r>
        <w:t>the confidence ranking can be as fine-grained as the evidence allows</w:t>
      </w:r>
      <w:r w:rsidR="00EF60FD">
        <w:t>.</w:t>
      </w:r>
      <w:r w:rsidR="00FB2844">
        <w:t>)</w:t>
      </w:r>
      <w:r w:rsidR="00EF60FD">
        <w:t xml:space="preserve"> </w:t>
      </w:r>
      <w:r w:rsidR="001E48DC">
        <w:t xml:space="preserve">Any projection supported by a set of probability distributions containing a confidence level is held with confidence equal to or greater than that level. </w:t>
      </w:r>
      <w:r w:rsidR="0012011F">
        <w:t>F</w:t>
      </w:r>
      <w:r w:rsidR="001E48DC">
        <w:t>or example</w:t>
      </w:r>
      <w:r w:rsidR="00E946DE">
        <w:t>,</w:t>
      </w:r>
      <w:r w:rsidR="0012011F">
        <w:t xml:space="preserve"> we can read off </w:t>
      </w:r>
      <w:r>
        <w:t xml:space="preserve">from this figure </w:t>
      </w:r>
      <w:r w:rsidR="0012011F">
        <w:t xml:space="preserve">that the projection that </w:t>
      </w:r>
      <w:r w:rsidR="002719B6">
        <w:t xml:space="preserve">the probability of </w:t>
      </w:r>
      <w:r w:rsidR="00C2401D">
        <w:t>flooding is 0.25</w:t>
      </w:r>
      <w:r w:rsidR="0012011F">
        <w:t xml:space="preserve"> is held at low confidence only</w:t>
      </w:r>
      <w:r w:rsidR="00C2401D">
        <w:t>,</w:t>
      </w:r>
      <w:r w:rsidR="0012011F">
        <w:t xml:space="preserve"> </w:t>
      </w:r>
      <w:r w:rsidR="001E48DC">
        <w:t>but that the projection that it will be betw</w:t>
      </w:r>
      <w:r w:rsidR="00C2401D">
        <w:t xml:space="preserve">een 0.2 and 0.3 is held with medium confidence. </w:t>
      </w:r>
    </w:p>
    <w:p w14:paraId="4EC99EE1" w14:textId="64182D52" w:rsidR="00E946DE" w:rsidRDefault="00E946DE" w:rsidP="004F4B8F">
      <w:pPr>
        <w:autoSpaceDE w:val="0"/>
        <w:autoSpaceDN w:val="0"/>
        <w:adjustRightInd w:val="0"/>
        <w:spacing w:before="120" w:after="240" w:line="360" w:lineRule="auto"/>
      </w:pPr>
      <w:r>
        <w:t>[Insert Figure II here]</w:t>
      </w:r>
    </w:p>
    <w:p w14:paraId="2D90B68C" w14:textId="77777777" w:rsidR="001A5601" w:rsidRDefault="00E946DE" w:rsidP="004F4B8F">
      <w:pPr>
        <w:autoSpaceDE w:val="0"/>
        <w:autoSpaceDN w:val="0"/>
        <w:adjustRightInd w:val="0"/>
        <w:spacing w:before="120" w:after="240" w:line="360" w:lineRule="auto"/>
      </w:pPr>
      <w:r>
        <w:t xml:space="preserve">Such a representation of uncertainty helps us see the limitations of the ones standardly adopted. To measure uncertainty by a single probabilistic projection is to focus exclusively on the inner set (indeed on an inner </w:t>
      </w:r>
      <w:r w:rsidRPr="00CD18EB">
        <w:rPr>
          <w:i/>
        </w:rPr>
        <w:t>point</w:t>
      </w:r>
      <w:r>
        <w:t xml:space="preserve">), thereby ignoring all second-order </w:t>
      </w:r>
      <w:r w:rsidR="002816BB">
        <w:t xml:space="preserve">model </w:t>
      </w:r>
      <w:r>
        <w:t>uncertainty. To measure it instead by a set of probabilities is to fix on one of the level-sets of the confidence ranking, thereby implicitly making a choice for the decision maker of what level of confidence they should seek</w:t>
      </w:r>
      <w:r w:rsidR="002816BB">
        <w:t xml:space="preserve"> in the projections they draw on. Onl</w:t>
      </w:r>
      <w:r>
        <w:t xml:space="preserve">y </w:t>
      </w:r>
      <w:r w:rsidR="002816BB">
        <w:t xml:space="preserve">by </w:t>
      </w:r>
      <w:r>
        <w:t xml:space="preserve">looking at the full set of sets of distributions </w:t>
      </w:r>
      <w:r w:rsidR="002816BB">
        <w:t xml:space="preserve">does </w:t>
      </w:r>
      <w:r>
        <w:t xml:space="preserve">one gets a sense of </w:t>
      </w:r>
      <w:r w:rsidR="002816BB">
        <w:t xml:space="preserve">the </w:t>
      </w:r>
      <w:r w:rsidR="002816BB">
        <w:lastRenderedPageBreak/>
        <w:t xml:space="preserve">trade-off between precision and </w:t>
      </w:r>
      <w:r>
        <w:t>robust</w:t>
      </w:r>
      <w:r w:rsidR="002816BB">
        <w:t>ness</w:t>
      </w:r>
      <w:r>
        <w:t xml:space="preserve"> </w:t>
      </w:r>
      <w:r w:rsidR="002816BB">
        <w:t xml:space="preserve">in </w:t>
      </w:r>
      <w:r>
        <w:t xml:space="preserve">the projections </w:t>
      </w:r>
      <w:r w:rsidR="002816BB">
        <w:t>engendered by the prevailing level of scientific understanding</w:t>
      </w:r>
      <w:r>
        <w:t>.</w:t>
      </w:r>
    </w:p>
    <w:p w14:paraId="1195000B" w14:textId="1F990391" w:rsidR="007842A7" w:rsidRDefault="002E501C" w:rsidP="004F4B8F">
      <w:pPr>
        <w:autoSpaceDE w:val="0"/>
        <w:autoSpaceDN w:val="0"/>
        <w:adjustRightInd w:val="0"/>
        <w:spacing w:before="120" w:after="240" w:line="360" w:lineRule="auto"/>
      </w:pPr>
      <w:r>
        <w:t xml:space="preserve">A </w:t>
      </w:r>
      <w:r w:rsidR="00C92103">
        <w:t xml:space="preserve">representation of the ambiguity a decision maker faces by a </w:t>
      </w:r>
      <w:r>
        <w:t xml:space="preserve">confidence ranking of </w:t>
      </w:r>
      <w:r w:rsidR="00450982">
        <w:t xml:space="preserve">decision </w:t>
      </w:r>
      <w:r w:rsidR="00C92103">
        <w:t xml:space="preserve">relevant </w:t>
      </w:r>
      <w:r>
        <w:t xml:space="preserve">projections does not </w:t>
      </w:r>
      <w:r w:rsidR="00C92103">
        <w:t xml:space="preserve">by itself </w:t>
      </w:r>
      <w:r>
        <w:t xml:space="preserve">determine what action </w:t>
      </w:r>
      <w:r w:rsidR="007D7EFD">
        <w:t>should be taken</w:t>
      </w:r>
      <w:r>
        <w:t>. The decision maker also needs to settle on the level</w:t>
      </w:r>
      <w:r w:rsidR="007F3A8B">
        <w:t xml:space="preserve"> of confidence she</w:t>
      </w:r>
      <w:r w:rsidR="00B321CB">
        <w:t xml:space="preserve"> requires in her choice; that is</w:t>
      </w:r>
      <w:r w:rsidR="007F3A8B">
        <w:t xml:space="preserve">, </w:t>
      </w:r>
      <w:r w:rsidR="006157D3">
        <w:t>how robust she requires the chosen action to be in achieving her goals</w:t>
      </w:r>
      <w:r w:rsidR="007F3A8B">
        <w:t xml:space="preserve"> in the light of the ambiguity she faces</w:t>
      </w:r>
      <w:r>
        <w:t xml:space="preserve">. </w:t>
      </w:r>
      <w:r w:rsidR="007F3A8B">
        <w:t xml:space="preserve">Let us call the characteristic of the agent that determines her confidence requirement in a particular decision problem, her </w:t>
      </w:r>
      <w:r w:rsidR="007F3A8B" w:rsidRPr="007F3A8B">
        <w:rPr>
          <w:i/>
        </w:rPr>
        <w:t>cautiousness</w:t>
      </w:r>
      <w:r w:rsidR="007F3A8B">
        <w:t xml:space="preserve">. </w:t>
      </w:r>
      <w:r w:rsidR="00450982">
        <w:t>Intuitively cautiousness is a subjective attitude that</w:t>
      </w:r>
      <w:r w:rsidR="007F3A8B">
        <w:t xml:space="preserve"> can vary between decision makers: a bold agent will require less confidence </w:t>
      </w:r>
      <w:r w:rsidR="00B321CB">
        <w:t xml:space="preserve">in her choice of action </w:t>
      </w:r>
      <w:r w:rsidR="007F3A8B">
        <w:t>in a</w:t>
      </w:r>
      <w:r w:rsidR="00B321CB">
        <w:t>ny</w:t>
      </w:r>
      <w:r w:rsidR="007F3A8B">
        <w:t xml:space="preserve"> given decision problem than a more cautious one. It is </w:t>
      </w:r>
      <w:r w:rsidR="00450982">
        <w:t xml:space="preserve">also </w:t>
      </w:r>
      <w:r w:rsidR="007F3A8B">
        <w:t>reasonable to</w:t>
      </w:r>
      <w:r w:rsidR="006157D3">
        <w:t xml:space="preserve"> expect</w:t>
      </w:r>
      <w:r w:rsidR="007F3A8B">
        <w:t>, as Hill (</w:t>
      </w:r>
      <w:r w:rsidR="00B321CB">
        <w:t>2013</w:t>
      </w:r>
      <w:r w:rsidR="00E81961">
        <w:t>, 2016</w:t>
      </w:r>
      <w:r w:rsidR="007F3A8B">
        <w:t>) argues,</w:t>
      </w:r>
      <w:r w:rsidR="007D7EFD">
        <w:t xml:space="preserve"> that </w:t>
      </w:r>
      <w:r w:rsidR="007F3A8B">
        <w:t>how cautious an agent is will depend on</w:t>
      </w:r>
      <w:r w:rsidR="007D7EFD">
        <w:t xml:space="preserve"> what is at </w:t>
      </w:r>
      <w:r w:rsidR="007D7EFD" w:rsidRPr="007842A7">
        <w:rPr>
          <w:i/>
        </w:rPr>
        <w:t>stake</w:t>
      </w:r>
      <w:r w:rsidR="007D7EFD">
        <w:t xml:space="preserve"> for her in the decision</w:t>
      </w:r>
      <w:r w:rsidR="007F3A8B">
        <w:t xml:space="preserve"> problem she faces</w:t>
      </w:r>
      <w:r w:rsidR="007842A7">
        <w:t>: what the range of possible outcomes are of any choice of action and how much she values (or disvalues) these possible consequences, perhaps paying particular attention to the worst and bes</w:t>
      </w:r>
      <w:r w:rsidR="006157D3">
        <w:t xml:space="preserve">t possible outcomes. </w:t>
      </w:r>
      <w:r w:rsidR="00450982">
        <w:t xml:space="preserve">Both possibilities are allowed by a formal representation of cautiousness as function of an agent and a decision problem that picks out a set of probabilistic projections, intuitively the small set of projections meeting the confidence requirement that her cautiousness dictates. </w:t>
      </w:r>
    </w:p>
    <w:p w14:paraId="4B70402A" w14:textId="0CA108BE" w:rsidR="00273E38" w:rsidRDefault="002E501C" w:rsidP="004F4B8F">
      <w:pPr>
        <w:autoSpaceDE w:val="0"/>
        <w:autoSpaceDN w:val="0"/>
        <w:adjustRightInd w:val="0"/>
        <w:spacing w:before="120" w:after="240" w:line="360" w:lineRule="auto"/>
      </w:pPr>
      <w:r>
        <w:t>If the level required is independent of the d</w:t>
      </w:r>
      <w:r w:rsidR="00E950C7">
        <w:t xml:space="preserve">ecision </w:t>
      </w:r>
      <w:proofErr w:type="gramStart"/>
      <w:r w:rsidR="00E950C7">
        <w:t>problem</w:t>
      </w:r>
      <w:proofErr w:type="gramEnd"/>
      <w:r w:rsidR="00E950C7">
        <w:t xml:space="preserve"> she faces then </w:t>
      </w:r>
      <w:r>
        <w:t>she can simply adopt the smallest set of probabilities that meets this confidence threshold and apply one of the rules for decision making under ambiguity</w:t>
      </w:r>
      <w:r w:rsidR="00EE69C5">
        <w:t xml:space="preserve"> mentioned</w:t>
      </w:r>
      <w:r>
        <w:t xml:space="preserve"> before (in this case the standard representation of ambiguity is sufficient for decision purposes). Plausibly however the level of confidence she will require will depend on what is at stake for her: the greater the stakes the more confidence required. </w:t>
      </w:r>
      <w:proofErr w:type="gramStart"/>
      <w:r>
        <w:t>So</w:t>
      </w:r>
      <w:proofErr w:type="gramEnd"/>
      <w:r>
        <w:t xml:space="preserve"> the set </w:t>
      </w:r>
      <w:r>
        <w:lastRenderedPageBreak/>
        <w:t xml:space="preserve">of probabilities functions that serves as the input to a decision rule will vary with the decision problem. </w:t>
      </w:r>
    </w:p>
    <w:p w14:paraId="2413142D" w14:textId="2B2AF981" w:rsidR="002E501C" w:rsidRDefault="00273E38" w:rsidP="004F4B8F">
      <w:pPr>
        <w:autoSpaceDE w:val="0"/>
        <w:autoSpaceDN w:val="0"/>
        <w:adjustRightInd w:val="0"/>
        <w:spacing w:before="120" w:after="240" w:line="360" w:lineRule="auto"/>
      </w:pPr>
      <w:r>
        <w:t xml:space="preserve">We will return to the implications for insurance decision making in due course, but first let us consider the question of what determines the confidence ranking itself. While the question of how much confidence is required </w:t>
      </w:r>
      <w:r w:rsidR="00EE69C5">
        <w:t xml:space="preserve">for a decision </w:t>
      </w:r>
      <w:r>
        <w:t xml:space="preserve">is something that depends on the decision maker’s aims and values, the </w:t>
      </w:r>
      <w:r w:rsidR="003601C5">
        <w:t xml:space="preserve">trade-off between specificity and robustness captured by a </w:t>
      </w:r>
      <w:r>
        <w:t>confidence ra</w:t>
      </w:r>
      <w:r w:rsidR="00FB2844">
        <w:t>n</w:t>
      </w:r>
      <w:r>
        <w:t xml:space="preserve">king of </w:t>
      </w:r>
      <w:r w:rsidR="00FB2844">
        <w:t xml:space="preserve">probabilistic </w:t>
      </w:r>
      <w:r>
        <w:t xml:space="preserve">projections is </w:t>
      </w:r>
      <w:r w:rsidR="001E3D00">
        <w:t>a</w:t>
      </w:r>
      <w:r w:rsidR="003601C5">
        <w:t xml:space="preserve"> matter for science to determine</w:t>
      </w:r>
      <w:r w:rsidR="001E3D00">
        <w:t>. Scientists achieve specificity in their findings by balancing the evidence for and against different claims obtained from running models, taking measurements, conducting laboratory and field experiments and so on. They acquire confidence in these findings by obtaining more evidence and evidence of higher quality, garnered from more diverse sources.</w:t>
      </w:r>
    </w:p>
    <w:p w14:paraId="2CD4A261" w14:textId="77777777" w:rsidR="006F44CB" w:rsidRDefault="002E501C" w:rsidP="004F4B8F">
      <w:pPr>
        <w:autoSpaceDE w:val="0"/>
        <w:autoSpaceDN w:val="0"/>
        <w:adjustRightInd w:val="0"/>
        <w:spacing w:before="120" w:after="240" w:line="360" w:lineRule="auto"/>
      </w:pPr>
      <w:r>
        <w:t xml:space="preserve">These two considerations are quite distinct. Suppose that I want to know the probability that it will rain tomorrow. At the outset I might do no better than use an estimate of the frequency of rainy days. But, given the opportunity, I could improve this judgement by drawing on state-of-the-art meteorological models and up-to-the-minute data about prevailing conditions, consulting experts in the field, and so on. All this activity could of course leave me with </w:t>
      </w:r>
      <w:proofErr w:type="gramStart"/>
      <w:r>
        <w:t>exactly the same</w:t>
      </w:r>
      <w:proofErr w:type="gramEnd"/>
      <w:r>
        <w:t xml:space="preserve"> probability judgement as I started with. But something would clearly </w:t>
      </w:r>
      <w:r w:rsidR="003601C5">
        <w:t>have changed as result; not the projected probability</w:t>
      </w:r>
      <w:r>
        <w:t xml:space="preserve"> for rain, but the confidence I am entitled to have in the pro</w:t>
      </w:r>
      <w:r w:rsidR="003601C5">
        <w:t>jection</w:t>
      </w:r>
      <w:r>
        <w:t xml:space="preserve">. While the probability of rain tomorrow reflects the balance of evidence for and against this possibility, confidence reflects what Keynes </w:t>
      </w:r>
      <w:r w:rsidR="00E950C7">
        <w:t xml:space="preserve">(1973/1921) </w:t>
      </w:r>
      <w:r>
        <w:t>called the weight of evidence, something whi</w:t>
      </w:r>
      <w:r w:rsidR="00E950C7">
        <w:t xml:space="preserve">ch depends on how much evidence </w:t>
      </w:r>
      <w:r>
        <w:t>there is, its quality</w:t>
      </w:r>
      <w:r w:rsidR="006F44CB">
        <w:t xml:space="preserve"> and consistency,</w:t>
      </w:r>
      <w:r>
        <w:t xml:space="preserve"> and perhaps the diversity of its sources</w:t>
      </w:r>
      <w:r w:rsidR="009E5D33">
        <w:t xml:space="preserve"> (see Joyce 2005)</w:t>
      </w:r>
      <w:r>
        <w:t xml:space="preserve">. </w:t>
      </w:r>
    </w:p>
    <w:p w14:paraId="11395A54" w14:textId="71661422" w:rsidR="006F44CB" w:rsidRDefault="00FA3BFB" w:rsidP="004F4B8F">
      <w:pPr>
        <w:autoSpaceDE w:val="0"/>
        <w:autoSpaceDN w:val="0"/>
        <w:adjustRightInd w:val="0"/>
        <w:spacing w:before="120" w:after="240" w:line="360" w:lineRule="auto"/>
        <w:rPr>
          <w:rFonts w:cstheme="minorHAnsi"/>
        </w:rPr>
      </w:pPr>
      <w:r>
        <w:rPr>
          <w:rFonts w:cstheme="minorHAnsi"/>
        </w:rPr>
        <w:lastRenderedPageBreak/>
        <w:t>Much of the scientific modelling of hazards has focused on the delivery of probabilistic projections through assessment and improvement of models. But modelling is equally important</w:t>
      </w:r>
      <w:r w:rsidR="00DD24A1">
        <w:rPr>
          <w:rFonts w:cstheme="minorHAnsi"/>
        </w:rPr>
        <w:t xml:space="preserve"> for</w:t>
      </w:r>
      <w:r>
        <w:rPr>
          <w:rFonts w:cstheme="minorHAnsi"/>
        </w:rPr>
        <w:t xml:space="preserve"> </w:t>
      </w:r>
      <w:r w:rsidR="00DD24A1">
        <w:rPr>
          <w:rFonts w:cstheme="minorHAnsi"/>
        </w:rPr>
        <w:t>determining the robustness</w:t>
      </w:r>
      <w:r>
        <w:rPr>
          <w:rFonts w:cstheme="minorHAnsi"/>
        </w:rPr>
        <w:t xml:space="preserve"> </w:t>
      </w:r>
      <w:r w:rsidR="00DD24A1">
        <w:rPr>
          <w:rFonts w:cstheme="minorHAnsi"/>
        </w:rPr>
        <w:t xml:space="preserve">of </w:t>
      </w:r>
      <w:r>
        <w:rPr>
          <w:rFonts w:cstheme="minorHAnsi"/>
        </w:rPr>
        <w:t>projection</w:t>
      </w:r>
      <w:r w:rsidR="00DD24A1">
        <w:rPr>
          <w:rFonts w:cstheme="minorHAnsi"/>
        </w:rPr>
        <w:t>s and thereby the confidence with which they can be held. This can have significant implications for decision making. For instance</w:t>
      </w:r>
      <w:r w:rsidR="00C80B9B">
        <w:rPr>
          <w:rFonts w:cstheme="minorHAnsi"/>
        </w:rPr>
        <w:t>,</w:t>
      </w:r>
      <w:r w:rsidR="00DD24A1">
        <w:rPr>
          <w:rFonts w:cstheme="minorHAnsi"/>
        </w:rPr>
        <w:t xml:space="preserve"> contrast a case in which exploration of the space of reasonable models reveals</w:t>
      </w:r>
      <w:r w:rsidR="00824E8C">
        <w:rPr>
          <w:rFonts w:cstheme="minorHAnsi"/>
        </w:rPr>
        <w:t xml:space="preserve"> that they make</w:t>
      </w:r>
      <w:r w:rsidR="00DD24A1">
        <w:rPr>
          <w:rFonts w:cstheme="minorHAnsi"/>
        </w:rPr>
        <w:t xml:space="preserve"> projections that, while different, all lie within a </w:t>
      </w:r>
      <w:proofErr w:type="gramStart"/>
      <w:r w:rsidR="00DD24A1">
        <w:rPr>
          <w:rFonts w:cstheme="minorHAnsi"/>
        </w:rPr>
        <w:t>fairly narrow</w:t>
      </w:r>
      <w:proofErr w:type="gramEnd"/>
      <w:r w:rsidR="00DD24A1">
        <w:rPr>
          <w:rFonts w:cstheme="minorHAnsi"/>
        </w:rPr>
        <w:t xml:space="preserve"> range, from one in which they make projections that are scattered all over the place. </w:t>
      </w:r>
      <w:r w:rsidR="008369BE">
        <w:rPr>
          <w:rFonts w:cstheme="minorHAnsi"/>
        </w:rPr>
        <w:t xml:space="preserve">(This is the sort of contrast that would be represented by Figures II and III, for instance.) </w:t>
      </w:r>
      <w:r w:rsidR="00EE1CE7">
        <w:rPr>
          <w:rFonts w:cstheme="minorHAnsi"/>
        </w:rPr>
        <w:t>I</w:t>
      </w:r>
      <w:r w:rsidR="00824E8C">
        <w:rPr>
          <w:rFonts w:cstheme="minorHAnsi"/>
        </w:rPr>
        <w:t>t could be that while the balance of evidence supports the same precise projection in the two cases, i</w:t>
      </w:r>
      <w:r w:rsidR="00EE1CE7">
        <w:rPr>
          <w:rFonts w:cstheme="minorHAnsi"/>
        </w:rPr>
        <w:t xml:space="preserve">n the former the loss of specificity entailed by adopting an imprecise projection supported by most models is not significant from the </w:t>
      </w:r>
      <w:r w:rsidR="00824E8C">
        <w:rPr>
          <w:rFonts w:cstheme="minorHAnsi"/>
        </w:rPr>
        <w:t xml:space="preserve">decision </w:t>
      </w:r>
      <w:r w:rsidR="00EE1CE7">
        <w:rPr>
          <w:rFonts w:cstheme="minorHAnsi"/>
        </w:rPr>
        <w:t>maker</w:t>
      </w:r>
      <w:r w:rsidR="00824E8C">
        <w:rPr>
          <w:rFonts w:cstheme="minorHAnsi"/>
        </w:rPr>
        <w:t>’</w:t>
      </w:r>
      <w:r w:rsidR="00EE1CE7">
        <w:rPr>
          <w:rFonts w:cstheme="minorHAnsi"/>
        </w:rPr>
        <w:t xml:space="preserve">s point of view, while </w:t>
      </w:r>
      <w:r w:rsidR="00824E8C">
        <w:rPr>
          <w:rFonts w:cstheme="minorHAnsi"/>
        </w:rPr>
        <w:t>i</w:t>
      </w:r>
      <w:r w:rsidR="00A96E6E">
        <w:rPr>
          <w:rFonts w:cstheme="minorHAnsi"/>
        </w:rPr>
        <w:t xml:space="preserve">n the latter </w:t>
      </w:r>
      <w:r w:rsidR="00824E8C">
        <w:rPr>
          <w:rFonts w:cstheme="minorHAnsi"/>
        </w:rPr>
        <w:t>it is. So</w:t>
      </w:r>
      <w:r w:rsidR="002F1D81">
        <w:rPr>
          <w:rFonts w:cstheme="minorHAnsi"/>
        </w:rPr>
        <w:t>,</w:t>
      </w:r>
      <w:r w:rsidR="00824E8C">
        <w:rPr>
          <w:rFonts w:cstheme="minorHAnsi"/>
        </w:rPr>
        <w:t xml:space="preserve"> in the former the gain in confidence </w:t>
      </w:r>
      <w:r w:rsidR="00E946DE">
        <w:rPr>
          <w:rFonts w:cstheme="minorHAnsi"/>
        </w:rPr>
        <w:t xml:space="preserve">obtained by consulting a wide range of model projections </w:t>
      </w:r>
      <w:r w:rsidR="00824E8C">
        <w:rPr>
          <w:rFonts w:cstheme="minorHAnsi"/>
        </w:rPr>
        <w:t>outweighs the loss of specificity, but in the latter it does not.</w:t>
      </w:r>
    </w:p>
    <w:p w14:paraId="604B07FA" w14:textId="77777777" w:rsidR="00BB2F66" w:rsidRDefault="00BB2F66" w:rsidP="004F4B8F">
      <w:pPr>
        <w:autoSpaceDE w:val="0"/>
        <w:autoSpaceDN w:val="0"/>
        <w:adjustRightInd w:val="0"/>
        <w:spacing w:before="120" w:after="240" w:line="360" w:lineRule="auto"/>
        <w:rPr>
          <w:rFonts w:cstheme="minorHAnsi"/>
        </w:rPr>
      </w:pPr>
    </w:p>
    <w:p w14:paraId="397DFC41" w14:textId="77777777" w:rsidR="00BB2F66" w:rsidRPr="00BB2F66" w:rsidRDefault="00BB2F66" w:rsidP="004F4B8F">
      <w:pPr>
        <w:autoSpaceDE w:val="0"/>
        <w:autoSpaceDN w:val="0"/>
        <w:adjustRightInd w:val="0"/>
        <w:spacing w:before="120" w:after="240" w:line="360" w:lineRule="auto"/>
        <w:rPr>
          <w:rFonts w:cstheme="minorHAnsi"/>
          <w:b/>
        </w:rPr>
      </w:pPr>
      <w:r w:rsidRPr="00BB2F66">
        <w:rPr>
          <w:rFonts w:cstheme="minorHAnsi"/>
          <w:b/>
        </w:rPr>
        <w:t>Insurance Decision</w:t>
      </w:r>
      <w:r>
        <w:rPr>
          <w:rFonts w:cstheme="minorHAnsi"/>
          <w:b/>
        </w:rPr>
        <w:t>s</w:t>
      </w:r>
    </w:p>
    <w:p w14:paraId="16D61340" w14:textId="77777777" w:rsidR="008D0177" w:rsidRDefault="00BB2F66" w:rsidP="004F4B8F">
      <w:pPr>
        <w:autoSpaceDE w:val="0"/>
        <w:autoSpaceDN w:val="0"/>
        <w:adjustRightInd w:val="0"/>
        <w:spacing w:before="120" w:after="240" w:line="360" w:lineRule="auto"/>
        <w:rPr>
          <w:rFonts w:cstheme="minorHAnsi"/>
        </w:rPr>
      </w:pPr>
      <w:r w:rsidRPr="000B0A08">
        <w:rPr>
          <w:rFonts w:cstheme="minorHAnsi"/>
        </w:rPr>
        <w:t>Let us turn now to how confidence rankings of projections</w:t>
      </w:r>
      <w:r w:rsidR="00B321CB">
        <w:rPr>
          <w:rFonts w:cstheme="minorHAnsi"/>
        </w:rPr>
        <w:t xml:space="preserve"> -</w:t>
      </w:r>
      <w:r w:rsidR="00F4113B" w:rsidRPr="000B0A08">
        <w:rPr>
          <w:rFonts w:cstheme="minorHAnsi"/>
        </w:rPr>
        <w:t xml:space="preserve"> in particular</w:t>
      </w:r>
      <w:r w:rsidR="00B321CB">
        <w:rPr>
          <w:rFonts w:cstheme="minorHAnsi"/>
        </w:rPr>
        <w:t>,</w:t>
      </w:r>
      <w:r w:rsidR="00F4113B" w:rsidRPr="000B0A08">
        <w:rPr>
          <w:rFonts w:cstheme="minorHAnsi"/>
        </w:rPr>
        <w:t xml:space="preserve"> </w:t>
      </w:r>
      <w:r w:rsidR="00B321CB">
        <w:rPr>
          <w:rFonts w:cstheme="minorHAnsi"/>
        </w:rPr>
        <w:t xml:space="preserve">of </w:t>
      </w:r>
      <w:r w:rsidR="00F4113B" w:rsidRPr="000B0A08">
        <w:rPr>
          <w:rFonts w:cstheme="minorHAnsi"/>
        </w:rPr>
        <w:t>exceedance probabilities</w:t>
      </w:r>
      <w:r w:rsidR="00B321CB">
        <w:rPr>
          <w:rFonts w:cstheme="minorHAnsi"/>
        </w:rPr>
        <w:t xml:space="preserve"> -</w:t>
      </w:r>
      <w:r w:rsidRPr="000B0A08">
        <w:rPr>
          <w:rFonts w:cstheme="minorHAnsi"/>
        </w:rPr>
        <w:t xml:space="preserve"> can support insurance decision making. </w:t>
      </w:r>
      <w:r w:rsidR="00B321CB">
        <w:rPr>
          <w:rFonts w:cstheme="minorHAnsi"/>
        </w:rPr>
        <w:t>Consider f</w:t>
      </w:r>
      <w:r w:rsidR="009416A9" w:rsidRPr="000B0A08">
        <w:rPr>
          <w:rFonts w:cstheme="minorHAnsi"/>
        </w:rPr>
        <w:t xml:space="preserve">irst </w:t>
      </w:r>
      <w:r w:rsidR="00B321CB">
        <w:rPr>
          <w:rFonts w:cstheme="minorHAnsi"/>
        </w:rPr>
        <w:t>the problem of</w:t>
      </w:r>
      <w:r w:rsidR="009416A9" w:rsidRPr="000B0A08">
        <w:rPr>
          <w:rFonts w:cstheme="minorHAnsi"/>
        </w:rPr>
        <w:t xml:space="preserve"> setting capital reserve requirements for a book. </w:t>
      </w:r>
      <w:r w:rsidR="00632D39" w:rsidRPr="000B0A08">
        <w:rPr>
          <w:rFonts w:cstheme="minorHAnsi"/>
        </w:rPr>
        <w:t xml:space="preserve">The decision maker must decide not only what threshold they wish to apply but also the level of confidence they require that this threshold will not be exceeded. </w:t>
      </w:r>
      <w:r w:rsidR="00994CAF">
        <w:rPr>
          <w:rFonts w:cstheme="minorHAnsi"/>
        </w:rPr>
        <w:t>In principle this</w:t>
      </w:r>
      <w:r w:rsidR="002B0412" w:rsidRPr="000B0A08">
        <w:rPr>
          <w:rFonts w:cstheme="minorHAnsi"/>
        </w:rPr>
        <w:t xml:space="preserve"> level can vary from decision to decision as a function of the stakes. </w:t>
      </w:r>
      <w:r w:rsidR="00417C35" w:rsidRPr="000B0A08">
        <w:rPr>
          <w:rFonts w:cstheme="minorHAnsi"/>
        </w:rPr>
        <w:t xml:space="preserve">But for the moment let us treat it as </w:t>
      </w:r>
      <w:r w:rsidR="00544220" w:rsidRPr="000B0A08">
        <w:rPr>
          <w:rFonts w:cstheme="minorHAnsi"/>
        </w:rPr>
        <w:t>a</w:t>
      </w:r>
      <w:r w:rsidR="00417C35" w:rsidRPr="000B0A08">
        <w:rPr>
          <w:rFonts w:cstheme="minorHAnsi"/>
        </w:rPr>
        <w:t xml:space="preserve"> constant and suppose</w:t>
      </w:r>
      <w:r w:rsidR="004251CE" w:rsidRPr="000B0A08">
        <w:rPr>
          <w:rFonts w:cstheme="minorHAnsi"/>
        </w:rPr>
        <w:t xml:space="preserve"> that the</w:t>
      </w:r>
      <w:r w:rsidR="00417C35" w:rsidRPr="000B0A08">
        <w:rPr>
          <w:rFonts w:cstheme="minorHAnsi"/>
        </w:rPr>
        <w:t xml:space="preserve"> decision maker </w:t>
      </w:r>
      <w:r w:rsidR="004251CE" w:rsidRPr="000B0A08">
        <w:rPr>
          <w:rFonts w:cstheme="minorHAnsi"/>
        </w:rPr>
        <w:t>fix</w:t>
      </w:r>
      <w:r w:rsidR="00417C35" w:rsidRPr="000B0A08">
        <w:rPr>
          <w:rFonts w:cstheme="minorHAnsi"/>
        </w:rPr>
        <w:t>es</w:t>
      </w:r>
      <w:r w:rsidR="00B321CB">
        <w:rPr>
          <w:rFonts w:cstheme="minorHAnsi"/>
        </w:rPr>
        <w:t xml:space="preserve"> values for </w:t>
      </w:r>
      <w:r w:rsidR="004251CE" w:rsidRPr="000B0A08">
        <w:rPr>
          <w:rFonts w:cstheme="minorHAnsi"/>
        </w:rPr>
        <w:t>a pair</w:t>
      </w:r>
      <w:r w:rsidR="00B321CB">
        <w:rPr>
          <w:rFonts w:cstheme="minorHAnsi"/>
        </w:rPr>
        <w:t xml:space="preserve"> of parameters</w:t>
      </w:r>
      <w:r w:rsidR="004251CE" w:rsidRPr="000B0A08">
        <w:rPr>
          <w:rFonts w:cstheme="minorHAnsi"/>
        </w:rPr>
        <w:t xml:space="preserve"> </w:t>
      </w:r>
      <m:oMath>
        <m:r>
          <w:rPr>
            <w:rFonts w:ascii="Cambria Math" w:hAnsi="Cambria Math" w:cstheme="minorHAnsi"/>
          </w:rPr>
          <m:t>(</m:t>
        </m:r>
        <m:r>
          <w:rPr>
            <w:rFonts w:ascii="Cambria Math" w:hAnsi="Cambria Math"/>
            <w:caps/>
          </w:rPr>
          <m:t>κ,γ)</m:t>
        </m:r>
      </m:oMath>
      <w:r w:rsidR="005F0B89">
        <w:rPr>
          <w:rFonts w:cstheme="minorHAnsi"/>
        </w:rPr>
        <w:t xml:space="preserve"> where</w:t>
      </w:r>
      <w:r w:rsidR="00B321CB">
        <w:rPr>
          <w:rFonts w:cstheme="minorHAnsi"/>
        </w:rPr>
        <w:t xml:space="preserve"> </w:t>
      </w:r>
      <m:oMath>
        <m:r>
          <w:rPr>
            <w:rFonts w:ascii="Cambria Math" w:hAnsi="Cambria Math"/>
            <w:caps/>
          </w:rPr>
          <m:t>κ</m:t>
        </m:r>
      </m:oMath>
      <w:r w:rsidR="00B321CB">
        <w:rPr>
          <w:rFonts w:cstheme="minorHAnsi"/>
        </w:rPr>
        <w:t>, as before,</w:t>
      </w:r>
      <w:r w:rsidR="005F0B89">
        <w:rPr>
          <w:rFonts w:cstheme="minorHAnsi"/>
        </w:rPr>
        <w:t xml:space="preserve"> is the threshold for an acceptable probability of ruin and </w:t>
      </w:r>
      <m:oMath>
        <m:r>
          <w:rPr>
            <w:rFonts w:ascii="Cambria Math" w:hAnsi="Cambria Math"/>
            <w:caps/>
          </w:rPr>
          <m:t>γ</m:t>
        </m:r>
      </m:oMath>
      <w:r w:rsidR="005F0B89">
        <w:rPr>
          <w:rFonts w:cstheme="minorHAnsi"/>
        </w:rPr>
        <w:t xml:space="preserve"> is the level of confidence required</w:t>
      </w:r>
      <w:r w:rsidR="004251CE" w:rsidRPr="000B0A08">
        <w:rPr>
          <w:rFonts w:cstheme="minorHAnsi"/>
        </w:rPr>
        <w:t xml:space="preserve">. </w:t>
      </w:r>
      <w:r w:rsidR="005F0B89">
        <w:rPr>
          <w:rFonts w:cstheme="minorHAnsi"/>
        </w:rPr>
        <w:t xml:space="preserve">The insurer can </w:t>
      </w:r>
      <w:r w:rsidR="004251CE" w:rsidRPr="000B0A08">
        <w:rPr>
          <w:rFonts w:cstheme="minorHAnsi"/>
        </w:rPr>
        <w:t xml:space="preserve">then compute capital reserve requirements using the threshold </w:t>
      </w:r>
      <m:oMath>
        <m:r>
          <w:rPr>
            <w:rFonts w:ascii="Cambria Math" w:hAnsi="Cambria Math"/>
            <w:caps/>
          </w:rPr>
          <m:t>κ</m:t>
        </m:r>
      </m:oMath>
      <w:r w:rsidR="004251CE" w:rsidRPr="000B0A08">
        <w:rPr>
          <w:rFonts w:cstheme="minorHAnsi"/>
        </w:rPr>
        <w:t xml:space="preserve"> for each of </w:t>
      </w:r>
      <w:r w:rsidR="004251CE" w:rsidRPr="000B0A08">
        <w:rPr>
          <w:rFonts w:cstheme="minorHAnsi"/>
        </w:rPr>
        <w:lastRenderedPageBreak/>
        <w:t>the exceedance probabilities that fall with</w:t>
      </w:r>
      <w:r w:rsidR="00544220" w:rsidRPr="000B0A08">
        <w:rPr>
          <w:rFonts w:cstheme="minorHAnsi"/>
        </w:rPr>
        <w:t xml:space="preserve">in the smallest set of such functions meeting the confidence requirement. </w:t>
      </w:r>
    </w:p>
    <w:p w14:paraId="768EB800" w14:textId="444F2A02" w:rsidR="00795398" w:rsidRPr="005F0B89" w:rsidRDefault="00CD7AF5" w:rsidP="004F4B8F">
      <w:pPr>
        <w:autoSpaceDE w:val="0"/>
        <w:autoSpaceDN w:val="0"/>
        <w:adjustRightInd w:val="0"/>
        <w:spacing w:before="120" w:after="240" w:line="360" w:lineRule="auto"/>
        <w:rPr>
          <w:rFonts w:cstheme="minorHAnsi"/>
        </w:rPr>
      </w:pPr>
      <w:r>
        <w:rPr>
          <w:rFonts w:cstheme="minorHAnsi"/>
        </w:rPr>
        <w:t>More formally,</w:t>
      </w:r>
      <w:r w:rsidR="002E2A2E" w:rsidRPr="000B0A08">
        <w:rPr>
          <w:rFonts w:cstheme="minorHAnsi"/>
        </w:rPr>
        <w:t xml:space="preserve"> let </w:t>
      </w:r>
      <m:oMath>
        <m:sSubSup>
          <m:sSubSupPr>
            <m:ctrlPr>
              <w:rPr>
                <w:rFonts w:ascii="Cambria Math" w:hAnsi="Cambria Math" w:cstheme="minorHAnsi"/>
                <w:i/>
              </w:rPr>
            </m:ctrlPr>
          </m:sSubSupPr>
          <m:e>
            <m:r>
              <w:rPr>
                <w:rFonts w:ascii="Cambria Math" w:hAnsi="Cambria Math" w:cstheme="minorHAnsi"/>
              </w:rPr>
              <m:t>π</m:t>
            </m:r>
          </m:e>
          <m:sub/>
          <m:sup>
            <m:r>
              <w:rPr>
                <w:rFonts w:ascii="Cambria Math" w:hAnsi="Cambria Math"/>
                <w:caps/>
              </w:rPr>
              <m:t>γ</m:t>
            </m:r>
          </m:sup>
        </m:sSub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P</m:t>
            </m:r>
          </m:e>
          <m:sup>
            <m:r>
              <w:rPr>
                <w:rFonts w:ascii="Cambria Math" w:hAnsi="Cambria Math" w:cstheme="minorHAnsi"/>
              </w:rPr>
              <m:t>1</m:t>
            </m:r>
          </m:sup>
        </m:s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P</m:t>
            </m:r>
          </m:e>
          <m:sup>
            <m:r>
              <w:rPr>
                <w:rFonts w:ascii="Cambria Math" w:hAnsi="Cambria Math" w:cstheme="minorHAnsi"/>
              </w:rPr>
              <m:t>n</m:t>
            </m:r>
          </m:sup>
        </m:sSup>
        <m:r>
          <w:rPr>
            <w:rFonts w:ascii="Cambria Math" w:hAnsi="Cambria Math" w:cstheme="minorHAnsi"/>
          </w:rPr>
          <m:t>}</m:t>
        </m:r>
      </m:oMath>
      <w:r w:rsidR="002E2A2E" w:rsidRPr="000B0A08">
        <w:rPr>
          <w:rFonts w:eastAsiaTheme="minorEastAsia" w:cstheme="minorHAnsi"/>
        </w:rPr>
        <w:t xml:space="preserve"> be the smallest set of </w:t>
      </w:r>
      <w:r>
        <w:rPr>
          <w:rFonts w:eastAsiaTheme="minorEastAsia" w:cstheme="minorHAnsi"/>
        </w:rPr>
        <w:t xml:space="preserve">probability functions on Boolean algebra of payoff-relevant events sufficient to achieve confidence </w:t>
      </w:r>
      <m:oMath>
        <m:r>
          <w:rPr>
            <w:rFonts w:ascii="Cambria Math" w:hAnsi="Cambria Math"/>
            <w:caps/>
          </w:rPr>
          <m:t>γ</m:t>
        </m:r>
      </m:oMath>
      <w:r w:rsidR="009C0271">
        <w:rPr>
          <w:rFonts w:eastAsiaTheme="minorEastAsia" w:cstheme="minorHAnsi"/>
        </w:rPr>
        <w:t xml:space="preserve"> and </w:t>
      </w:r>
      <m:oMath>
        <m:sSubSup>
          <m:sSubSupPr>
            <m:ctrlPr>
              <w:rPr>
                <w:rFonts w:ascii="Cambria Math" w:hAnsi="Cambria Math" w:cstheme="minorHAnsi"/>
                <w:i/>
              </w:rPr>
            </m:ctrlPr>
          </m:sSubSupPr>
          <m:e>
            <m:r>
              <w:rPr>
                <w:rFonts w:ascii="Cambria Math" w:hAnsi="Cambria Math" w:cstheme="minorHAnsi"/>
              </w:rPr>
              <m:t>π</m:t>
            </m:r>
          </m:e>
          <m:sub>
            <m:r>
              <w:rPr>
                <w:rFonts w:ascii="Cambria Math" w:hAnsi="Cambria Math" w:cstheme="minorHAnsi"/>
              </w:rPr>
              <m:t>b</m:t>
            </m:r>
          </m:sub>
          <m:sup>
            <m:r>
              <w:rPr>
                <w:rFonts w:ascii="Cambria Math" w:hAnsi="Cambria Math"/>
                <w:caps/>
              </w:rPr>
              <m:t>γ</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P</m:t>
            </m:r>
          </m:e>
          <m:sub>
            <m:r>
              <w:rPr>
                <w:rFonts w:ascii="Cambria Math" w:hAnsi="Cambria Math" w:cstheme="minorHAnsi"/>
              </w:rPr>
              <m:t>b</m:t>
            </m:r>
          </m:sub>
          <m:sup>
            <m:r>
              <w:rPr>
                <w:rFonts w:ascii="Cambria Math" w:hAnsi="Cambria Math" w:cstheme="minorHAnsi"/>
              </w:rPr>
              <m:t>1</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P</m:t>
            </m:r>
          </m:e>
          <m:sub>
            <m:r>
              <w:rPr>
                <w:rFonts w:ascii="Cambria Math" w:hAnsi="Cambria Math" w:cstheme="minorHAnsi"/>
              </w:rPr>
              <m:t>b</m:t>
            </m:r>
          </m:sub>
          <m:sup>
            <m:r>
              <w:rPr>
                <w:rFonts w:ascii="Cambria Math" w:hAnsi="Cambria Math" w:cstheme="minorHAnsi"/>
              </w:rPr>
              <m:t>n</m:t>
            </m:r>
          </m:sup>
        </m:sSubSup>
        <m:r>
          <w:rPr>
            <w:rFonts w:ascii="Cambria Math" w:hAnsi="Cambria Math" w:cstheme="minorHAnsi"/>
          </w:rPr>
          <m:t>}</m:t>
        </m:r>
      </m:oMath>
      <w:r w:rsidR="009C0271" w:rsidRPr="000B0A08">
        <w:rPr>
          <w:rFonts w:eastAsiaTheme="minorEastAsia" w:cstheme="minorHAnsi"/>
        </w:rPr>
        <w:t xml:space="preserve"> </w:t>
      </w:r>
      <w:r w:rsidR="009C0271">
        <w:rPr>
          <w:rFonts w:eastAsiaTheme="minorEastAsia" w:cstheme="minorHAnsi"/>
        </w:rPr>
        <w:t xml:space="preserve">be the corresponding </w:t>
      </w:r>
      <w:r w:rsidR="00E00428">
        <w:rPr>
          <w:rFonts w:eastAsiaTheme="minorEastAsia" w:cstheme="minorHAnsi"/>
        </w:rPr>
        <w:t xml:space="preserve">set of </w:t>
      </w:r>
      <w:r w:rsidR="009C0271">
        <w:rPr>
          <w:rFonts w:eastAsiaTheme="minorEastAsia" w:cstheme="minorHAnsi"/>
        </w:rPr>
        <w:t xml:space="preserve">probability measures on payoffs induced by book </w:t>
      </w:r>
      <w:r w:rsidR="004A4F51" w:rsidRPr="004A4F51">
        <w:rPr>
          <w:rFonts w:eastAsiaTheme="minorEastAsia" w:cstheme="minorHAnsi"/>
          <w:i/>
        </w:rPr>
        <w:t>b</w:t>
      </w:r>
      <w:r w:rsidR="004A4F51">
        <w:rPr>
          <w:rFonts w:eastAsiaTheme="minorEastAsia" w:cstheme="minorHAnsi"/>
        </w:rPr>
        <w:t>.</w:t>
      </w:r>
      <w:r>
        <w:rPr>
          <w:rFonts w:eastAsiaTheme="minorEastAsia" w:cstheme="minorHAnsi"/>
        </w:rPr>
        <w:t xml:space="preserve"> For any </w:t>
      </w:r>
      <m:oMath>
        <m:sSubSup>
          <m:sSubSupPr>
            <m:ctrlPr>
              <w:rPr>
                <w:rFonts w:ascii="Cambria Math" w:hAnsi="Cambria Math" w:cstheme="minorHAnsi"/>
                <w:i/>
              </w:rPr>
            </m:ctrlPr>
          </m:sSubSupPr>
          <m:e>
            <m:r>
              <w:rPr>
                <w:rFonts w:ascii="Cambria Math" w:hAnsi="Cambria Math" w:cstheme="minorHAnsi"/>
              </w:rPr>
              <m:t>P</m:t>
            </m:r>
          </m:e>
          <m:sub>
            <m:r>
              <w:rPr>
                <w:rFonts w:ascii="Cambria Math" w:hAnsi="Cambria Math" w:cstheme="minorHAnsi"/>
              </w:rPr>
              <m:t>b</m:t>
            </m:r>
          </m:sub>
          <m:sup>
            <m:r>
              <w:rPr>
                <w:rFonts w:ascii="Cambria Math" w:hAnsi="Cambria Math" w:cstheme="minorHAnsi"/>
              </w:rPr>
              <m:t>i</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π</m:t>
            </m:r>
          </m:e>
          <m:sub>
            <m:r>
              <w:rPr>
                <w:rFonts w:ascii="Cambria Math" w:hAnsi="Cambria Math" w:cstheme="minorHAnsi"/>
              </w:rPr>
              <m:t>b</m:t>
            </m:r>
          </m:sub>
          <m:sup>
            <m:r>
              <w:rPr>
                <w:rFonts w:ascii="Cambria Math" w:hAnsi="Cambria Math"/>
                <w:caps/>
              </w:rPr>
              <m:t>γ</m:t>
            </m:r>
          </m:sup>
        </m:sSubSup>
      </m:oMath>
      <w:r>
        <w:rPr>
          <w:rFonts w:eastAsiaTheme="minorEastAsia" w:cstheme="minorHAnsi"/>
        </w:rPr>
        <w:t xml:space="preserve"> let </w:t>
      </w:r>
      <m:oMath>
        <m:sSubSup>
          <m:sSubSupPr>
            <m:ctrlPr>
              <w:rPr>
                <w:rFonts w:ascii="Cambria Math" w:hAnsi="Cambria Math"/>
                <w:i/>
              </w:rPr>
            </m:ctrlPr>
          </m:sSubSupPr>
          <m:e>
            <m:r>
              <w:rPr>
                <w:rFonts w:ascii="Cambria Math" w:hAnsi="Cambria Math"/>
              </w:rPr>
              <m:t>μ</m:t>
            </m:r>
          </m:e>
          <m:sub>
            <m:r>
              <w:rPr>
                <w:rFonts w:ascii="Cambria Math" w:hAnsi="Cambria Math"/>
              </w:rPr>
              <m:t>b</m:t>
            </m:r>
          </m:sub>
          <m:sup>
            <m:r>
              <w:rPr>
                <w:rFonts w:ascii="Cambria Math" w:hAnsi="Cambria Math"/>
              </w:rPr>
              <m:t>i</m:t>
            </m:r>
          </m:sup>
        </m:sSubSup>
      </m:oMath>
      <w:r>
        <w:rPr>
          <w:rFonts w:eastAsiaTheme="minorEastAsia" w:cstheme="minorHAnsi"/>
        </w:rPr>
        <w:t xml:space="preserve"> and</w:t>
      </w:r>
      <w:r w:rsidR="00A14F3C">
        <w:rPr>
          <w:rFonts w:eastAsiaTheme="minorEastAsia" w:cstheme="minorHAnsi"/>
        </w:rPr>
        <w:t xml:space="preserve"> </w:t>
      </w:r>
      <m:oMath>
        <m:sSubSup>
          <m:sSubSupPr>
            <m:ctrlPr>
              <w:rPr>
                <w:rFonts w:ascii="Cambria Math" w:hAnsi="Cambria Math"/>
                <w:i/>
              </w:rPr>
            </m:ctrlPr>
          </m:sSubSupPr>
          <m:e>
            <m:r>
              <w:rPr>
                <w:rFonts w:ascii="Cambria Math" w:hAnsi="Cambria Math"/>
              </w:rPr>
              <m:t>σ</m:t>
            </m:r>
          </m:e>
          <m:sub>
            <m:r>
              <w:rPr>
                <w:rFonts w:ascii="Cambria Math" w:hAnsi="Cambria Math"/>
              </w:rPr>
              <m:t>b</m:t>
            </m:r>
          </m:sub>
          <m:sup>
            <m:r>
              <w:rPr>
                <w:rFonts w:ascii="Cambria Math" w:hAnsi="Cambria Math"/>
              </w:rPr>
              <m:t>i</m:t>
            </m:r>
          </m:sup>
        </m:sSubSup>
      </m:oMath>
      <w:r>
        <w:rPr>
          <w:rFonts w:eastAsiaTheme="minorEastAsia" w:cstheme="minorHAnsi"/>
        </w:rPr>
        <w:t xml:space="preserve"> be </w:t>
      </w:r>
      <w:r w:rsidR="005A16FF">
        <w:rPr>
          <w:rFonts w:eastAsiaTheme="minorEastAsia" w:cstheme="minorHAnsi"/>
        </w:rPr>
        <w:t>the</w:t>
      </w:r>
      <w:r w:rsidR="00A14F3C">
        <w:rPr>
          <w:rFonts w:eastAsiaTheme="minorEastAsia" w:cstheme="minorHAnsi"/>
        </w:rPr>
        <w:t xml:space="preserve"> </w:t>
      </w:r>
      <w:r w:rsidR="004E7214">
        <w:rPr>
          <w:rFonts w:eastAsiaTheme="minorEastAsia" w:cstheme="minorHAnsi"/>
        </w:rPr>
        <w:t xml:space="preserve">associated </w:t>
      </w:r>
      <w:r w:rsidR="00A14F3C">
        <w:rPr>
          <w:rFonts w:eastAsiaTheme="minorEastAsia" w:cstheme="minorHAnsi"/>
        </w:rPr>
        <w:t>expected loss and standard deviation</w:t>
      </w:r>
      <w:r w:rsidR="005A16FF">
        <w:rPr>
          <w:rFonts w:eastAsiaTheme="minorEastAsia" w:cstheme="minorHAnsi"/>
        </w:rPr>
        <w:t xml:space="preserve"> of book </w:t>
      </w:r>
      <w:r w:rsidR="005A16FF" w:rsidRPr="005A16FF">
        <w:rPr>
          <w:rFonts w:eastAsiaTheme="minorEastAsia" w:cstheme="minorHAnsi"/>
          <w:i/>
        </w:rPr>
        <w:t>b</w:t>
      </w:r>
      <w:r w:rsidR="00A14F3C">
        <w:rPr>
          <w:rFonts w:eastAsiaTheme="minorEastAsia" w:cstheme="minorHAnsi"/>
        </w:rPr>
        <w:t xml:space="preserve">. </w:t>
      </w:r>
      <w:r w:rsidR="00E00428">
        <w:rPr>
          <w:rFonts w:eastAsiaTheme="minorEastAsia" w:cstheme="minorHAnsi"/>
        </w:rPr>
        <w:t>Then</w:t>
      </w:r>
      <w:r w:rsidR="003674F0" w:rsidRPr="000B0A08">
        <w:rPr>
          <w:rFonts w:eastAsiaTheme="minorEastAsia" w:cstheme="minorHAnsi"/>
        </w:rPr>
        <w:t xml:space="preserve"> an insurer </w:t>
      </w:r>
      <w:r w:rsidR="00E00428">
        <w:rPr>
          <w:rFonts w:eastAsiaTheme="minorEastAsia" w:cstheme="minorHAnsi"/>
        </w:rPr>
        <w:t xml:space="preserve">who seeks to set her capital reserves </w:t>
      </w:r>
      <w:r w:rsidR="00994CAF">
        <w:rPr>
          <w:rFonts w:eastAsiaTheme="minorEastAsia" w:cstheme="minorHAnsi"/>
        </w:rPr>
        <w:t>at a level at which she can be</w:t>
      </w:r>
      <w:r w:rsidR="00E00428">
        <w:rPr>
          <w:rFonts w:eastAsiaTheme="minorEastAsia" w:cstheme="minorHAnsi"/>
        </w:rPr>
        <w:t xml:space="preserve"> sufficiently confident </w:t>
      </w:r>
      <w:r w:rsidR="00994CAF">
        <w:rPr>
          <w:rFonts w:eastAsiaTheme="minorEastAsia" w:cstheme="minorHAnsi"/>
        </w:rPr>
        <w:t>that</w:t>
      </w:r>
      <w:r w:rsidR="00E00428">
        <w:rPr>
          <w:rFonts w:eastAsiaTheme="minorEastAsia" w:cstheme="minorHAnsi"/>
        </w:rPr>
        <w:t xml:space="preserve"> the risk of ruin </w:t>
      </w:r>
      <w:r w:rsidR="00994CAF">
        <w:rPr>
          <w:rFonts w:eastAsiaTheme="minorEastAsia" w:cstheme="minorHAnsi"/>
        </w:rPr>
        <w:t xml:space="preserve">is </w:t>
      </w:r>
      <w:r w:rsidR="00E00428">
        <w:rPr>
          <w:rFonts w:eastAsiaTheme="minorEastAsia" w:cstheme="minorHAnsi"/>
        </w:rPr>
        <w:t>below the threshold, will set them</w:t>
      </w:r>
      <w:r w:rsidR="003674F0" w:rsidRPr="000B0A08">
        <w:rPr>
          <w:rFonts w:eastAsiaTheme="minorEastAsia" w:cstheme="minorHAnsi"/>
        </w:rPr>
        <w:t xml:space="preserve"> according to:</w:t>
      </w:r>
      <w:r w:rsidR="00795398" w:rsidRPr="00795398">
        <w:t xml:space="preserve"> </w:t>
      </w:r>
    </w:p>
    <w:p w14:paraId="5C35D61A" w14:textId="078F6B70" w:rsidR="00BB2F66" w:rsidRPr="00994CAF" w:rsidRDefault="00F67410" w:rsidP="004F4B8F">
      <w:pPr>
        <w:spacing w:before="120" w:after="240" w:line="360" w:lineRule="auto"/>
        <w:ind w:firstLine="720"/>
        <w:rPr>
          <w:rFonts w:eastAsiaTheme="minorEastAsia"/>
          <w:caps/>
        </w:rPr>
      </w:pPr>
      <m:oMath>
        <m:sSubSup>
          <m:sSubSupPr>
            <m:ctrlPr>
              <w:rPr>
                <w:rFonts w:ascii="Cambria Math" w:hAnsi="Cambria Math"/>
                <w:i/>
                <w:caps/>
              </w:rPr>
            </m:ctrlPr>
          </m:sSubSupPr>
          <m:e>
            <m:r>
              <w:rPr>
                <w:rFonts w:ascii="Cambria Math" w:hAnsi="Cambria Math"/>
                <w:caps/>
              </w:rPr>
              <m:t>Z</m:t>
            </m:r>
          </m:e>
          <m:sub>
            <m:r>
              <w:rPr>
                <w:rFonts w:ascii="Cambria Math" w:hAnsi="Cambria Math"/>
                <w:caps/>
              </w:rPr>
              <m:t>b</m:t>
            </m:r>
          </m:sub>
          <m:sup>
            <m:r>
              <w:rPr>
                <w:rFonts w:ascii="Cambria Math" w:hAnsi="Cambria Math"/>
                <w:caps/>
              </w:rPr>
              <m:t>γ</m:t>
            </m:r>
          </m:sup>
        </m:sSubSup>
        <m:r>
          <w:rPr>
            <w:rFonts w:ascii="Cambria Math" w:hAnsi="Cambria Math"/>
            <w:caps/>
          </w:rPr>
          <m:t>=</m:t>
        </m:r>
        <m:func>
          <m:funcPr>
            <m:ctrlPr>
              <w:rPr>
                <w:rFonts w:ascii="Cambria Math" w:hAnsi="Cambria Math"/>
                <w:caps/>
              </w:rPr>
            </m:ctrlPr>
          </m:funcPr>
          <m:fName>
            <m:r>
              <m:rPr>
                <m:sty m:val="p"/>
              </m:rPr>
              <w:rPr>
                <w:rFonts w:ascii="Cambria Math" w:hAnsi="Cambria Math"/>
                <w:caps/>
              </w:rPr>
              <m:t>min</m:t>
            </m:r>
          </m:fName>
          <m:e>
            <m:d>
              <m:dPr>
                <m:begChr m:val="{"/>
                <m:endChr m:val="}"/>
                <m:ctrlPr>
                  <w:rPr>
                    <w:rFonts w:ascii="Cambria Math" w:hAnsi="Cambria Math"/>
                    <w:i/>
                    <w:caps/>
                  </w:rPr>
                </m:ctrlPr>
              </m:dPr>
              <m:e>
                <m:r>
                  <w:rPr>
                    <w:rFonts w:ascii="Cambria Math" w:hAnsi="Cambria Math"/>
                    <w:caps/>
                  </w:rPr>
                  <m:t>x:</m:t>
                </m:r>
                <m:sSub>
                  <m:sSubPr>
                    <m:ctrlPr>
                      <w:rPr>
                        <w:rFonts w:ascii="Cambria Math" w:hAnsi="Cambria Math"/>
                        <w:i/>
                        <w:caps/>
                      </w:rPr>
                    </m:ctrlPr>
                  </m:sSubPr>
                  <m:e>
                    <m:r>
                      <w:rPr>
                        <w:rFonts w:ascii="Cambria Math" w:hAnsi="Cambria Math"/>
                        <w:caps/>
                      </w:rPr>
                      <m:t>∀</m:t>
                    </m:r>
                    <m:sSub>
                      <m:sSubPr>
                        <m:ctrlPr>
                          <w:rPr>
                            <w:rFonts w:ascii="Cambria Math" w:hAnsi="Cambria Math"/>
                            <w:i/>
                            <w:caps/>
                          </w:rPr>
                        </m:ctrlPr>
                      </m:sSubPr>
                      <m:e>
                        <m:r>
                          <w:rPr>
                            <w:rFonts w:ascii="Cambria Math" w:hAnsi="Cambria Math"/>
                            <w:caps/>
                          </w:rPr>
                          <m:t>P</m:t>
                        </m:r>
                      </m:e>
                      <m:sub>
                        <m:r>
                          <w:rPr>
                            <w:rFonts w:ascii="Cambria Math" w:hAnsi="Cambria Math"/>
                            <w:caps/>
                          </w:rPr>
                          <m:t>b</m:t>
                        </m:r>
                      </m:sub>
                    </m:sSub>
                    <m:r>
                      <w:rPr>
                        <w:rFonts w:ascii="Cambria Math" w:hAnsi="Cambria Math"/>
                        <w:caps/>
                      </w:rPr>
                      <m:t>∈</m:t>
                    </m:r>
                    <m:sSubSup>
                      <m:sSubSupPr>
                        <m:ctrlPr>
                          <w:rPr>
                            <w:rFonts w:ascii="Cambria Math" w:hAnsi="Cambria Math" w:cstheme="minorHAnsi"/>
                            <w:i/>
                          </w:rPr>
                        </m:ctrlPr>
                      </m:sSubSupPr>
                      <m:e>
                        <m:r>
                          <w:rPr>
                            <w:rFonts w:ascii="Cambria Math" w:hAnsi="Cambria Math" w:cstheme="minorHAnsi"/>
                          </w:rPr>
                          <m:t>π</m:t>
                        </m:r>
                      </m:e>
                      <m:sub>
                        <m:r>
                          <w:rPr>
                            <w:rFonts w:ascii="Cambria Math" w:hAnsi="Cambria Math" w:cstheme="minorHAnsi"/>
                          </w:rPr>
                          <m:t>b</m:t>
                        </m:r>
                      </m:sub>
                      <m:sup>
                        <m:r>
                          <w:rPr>
                            <w:rFonts w:ascii="Cambria Math" w:hAnsi="Cambria Math"/>
                            <w:caps/>
                          </w:rPr>
                          <m:t>γ</m:t>
                        </m:r>
                      </m:sup>
                    </m:sSubSup>
                    <m:r>
                      <m:rPr>
                        <m:sty m:val="p"/>
                      </m:rPr>
                      <w:rPr>
                        <w:rFonts w:ascii="Cambria Math" w:eastAsiaTheme="minorEastAsia" w:hAnsi="Cambria Math" w:cstheme="minorHAnsi"/>
                      </w:rPr>
                      <m:t xml:space="preserve"> </m:t>
                    </m:r>
                    <m:r>
                      <w:rPr>
                        <w:rFonts w:ascii="Cambria Math" w:hAnsi="Cambria Math"/>
                        <w:caps/>
                      </w:rPr>
                      <m:t>, P</m:t>
                    </m:r>
                  </m:e>
                  <m:sub>
                    <m:r>
                      <w:rPr>
                        <w:rFonts w:ascii="Cambria Math" w:hAnsi="Cambria Math"/>
                        <w:caps/>
                      </w:rPr>
                      <m:t>b</m:t>
                    </m:r>
                  </m:sub>
                </m:sSub>
                <m:d>
                  <m:dPr>
                    <m:ctrlPr>
                      <w:rPr>
                        <w:rFonts w:ascii="Cambria Math" w:hAnsi="Cambria Math"/>
                        <w:i/>
                        <w:caps/>
                      </w:rPr>
                    </m:ctrlPr>
                  </m:dPr>
                  <m:e>
                    <m:r>
                      <w:rPr>
                        <w:rFonts w:ascii="Cambria Math" w:hAnsi="Cambria Math"/>
                        <w:caps/>
                      </w:rPr>
                      <m:t>&gt;x</m:t>
                    </m:r>
                  </m:e>
                </m:d>
                <m:r>
                  <w:rPr>
                    <w:rFonts w:ascii="Cambria Math" w:hAnsi="Cambria Math"/>
                    <w:caps/>
                  </w:rPr>
                  <m:t>≤κ</m:t>
                </m:r>
              </m:e>
            </m:d>
          </m:e>
        </m:func>
      </m:oMath>
      <w:r w:rsidR="00A00130">
        <w:rPr>
          <w:rFonts w:eastAsiaTheme="minorEastAsia"/>
          <w:caps/>
        </w:rPr>
        <w:t xml:space="preserve"> </w:t>
      </w:r>
      <w:r w:rsidR="00A00130">
        <w:rPr>
          <w:rFonts w:eastAsiaTheme="minorEastAsia"/>
        </w:rPr>
        <w:tab/>
      </w:r>
      <w:r w:rsidR="003C0604">
        <w:rPr>
          <w:rFonts w:eastAsiaTheme="minorEastAsia"/>
        </w:rPr>
        <w:tab/>
      </w:r>
      <w:r w:rsidR="00A4563A">
        <w:rPr>
          <w:rFonts w:eastAsiaTheme="minorEastAsia"/>
        </w:rPr>
        <w:t>(4</w:t>
      </w:r>
      <w:r w:rsidR="00A00130">
        <w:rPr>
          <w:rFonts w:eastAsiaTheme="minorEastAsia"/>
        </w:rPr>
        <w:t>)</w:t>
      </w:r>
    </w:p>
    <w:p w14:paraId="18639843" w14:textId="1A35EE12" w:rsidR="00001C90" w:rsidRDefault="00E00428" w:rsidP="004F4B8F">
      <w:pPr>
        <w:spacing w:before="120" w:after="240" w:line="360" w:lineRule="auto"/>
      </w:pPr>
      <w:r>
        <w:t>In other</w:t>
      </w:r>
      <w:r w:rsidR="00001C90">
        <w:t xml:space="preserve"> </w:t>
      </w:r>
      <w:r>
        <w:t>words</w:t>
      </w:r>
      <w:r w:rsidR="00ED66B2">
        <w:t>,</w:t>
      </w:r>
      <w:r>
        <w:t xml:space="preserve"> she will choose the smallest capital sum such that the probability </w:t>
      </w:r>
      <w:r w:rsidR="00ED66B2">
        <w:t xml:space="preserve">of </w:t>
      </w:r>
      <w:r>
        <w:t>ruin falls below</w:t>
      </w:r>
      <w:r w:rsidR="00B321CB">
        <w:t xml:space="preserve"> threshold</w:t>
      </w:r>
      <w:r>
        <w:t xml:space="preserve"> </w:t>
      </w:r>
      <m:oMath>
        <m:r>
          <w:rPr>
            <w:rFonts w:ascii="Cambria Math" w:hAnsi="Cambria Math"/>
            <w:caps/>
          </w:rPr>
          <m:t>κ</m:t>
        </m:r>
      </m:oMath>
      <w:r>
        <w:t xml:space="preserve"> with confidence </w:t>
      </w:r>
      <m:oMath>
        <m:r>
          <w:rPr>
            <w:rFonts w:ascii="Cambria Math" w:hAnsi="Cambria Math"/>
            <w:caps/>
          </w:rPr>
          <m:t>γ</m:t>
        </m:r>
      </m:oMath>
      <w:r>
        <w:t>.</w:t>
      </w:r>
    </w:p>
    <w:p w14:paraId="3FD4FCA2" w14:textId="56F8D022" w:rsidR="00912741" w:rsidRDefault="00B71C97" w:rsidP="004F4B8F">
      <w:pPr>
        <w:spacing w:before="120" w:after="240" w:line="360" w:lineRule="auto"/>
        <w:rPr>
          <w:rFonts w:eastAsiaTheme="minorEastAsia"/>
        </w:rPr>
      </w:pPr>
      <w:r>
        <w:t xml:space="preserve">To determine the price of any new contract </w:t>
      </w:r>
      <w:r w:rsidRPr="005B7CD0">
        <w:rPr>
          <w:i/>
        </w:rPr>
        <w:t>c</w:t>
      </w:r>
      <w:r>
        <w:t xml:space="preserve"> the insurer </w:t>
      </w:r>
      <w:r w:rsidR="00BC62BC">
        <w:t xml:space="preserve">will need to consider a range of (changes in) expected losses and standard deviations associated with </w:t>
      </w:r>
      <w:r w:rsidR="00BC62BC" w:rsidRPr="007910AE">
        <w:rPr>
          <w:i/>
        </w:rPr>
        <w:t>c</w:t>
      </w:r>
      <w:r w:rsidR="00BC62BC">
        <w:t xml:space="preserve"> that is sufficiently broad as to meet her confidence requirements. She can then apply</w:t>
      </w:r>
      <w:r w:rsidR="000B0A08">
        <w:t xml:space="preserve"> equation</w:t>
      </w:r>
      <w:r w:rsidR="008825A2">
        <w:t xml:space="preserve"> (1)</w:t>
      </w:r>
      <w:r w:rsidR="00BC62BC">
        <w:t xml:space="preserve"> using the calculation of capital reserves suggested above or, more directly, by applying </w:t>
      </w:r>
      <w:r w:rsidR="005F0B89">
        <w:t xml:space="preserve">Kreps’s pricing formula </w:t>
      </w:r>
      <w:r w:rsidR="008825A2">
        <w:t>(2</w:t>
      </w:r>
      <w:r w:rsidR="00BC62BC">
        <w:t>)</w:t>
      </w:r>
      <w:r w:rsidR="00E628C6">
        <w:t xml:space="preserve">, </w:t>
      </w:r>
      <w:r w:rsidR="00BC62BC">
        <w:t xml:space="preserve">in both cases </w:t>
      </w:r>
      <w:r w:rsidR="00074068">
        <w:t xml:space="preserve">using each </w:t>
      </w:r>
      <w:r w:rsidR="00BC62BC">
        <w:t xml:space="preserve">of </w:t>
      </w:r>
      <w:r w:rsidR="00074068">
        <w:t xml:space="preserve">the </w:t>
      </w:r>
      <w:r w:rsidR="00E628C6">
        <w:t>exceedance probabilities</w:t>
      </w:r>
      <w:r w:rsidR="00BC62BC">
        <w:t xml:space="preserve"> induced by </w:t>
      </w:r>
      <w:r w:rsidR="00BC62BC" w:rsidRPr="00BC62BC">
        <w:rPr>
          <w:i/>
        </w:rPr>
        <w:t>c</w:t>
      </w:r>
      <w:r w:rsidR="00BC62BC">
        <w:rPr>
          <w:rFonts w:cstheme="minorHAnsi"/>
        </w:rPr>
        <w:t>. More formally</w:t>
      </w:r>
      <w:r w:rsidR="00C97712">
        <w:rPr>
          <w:rFonts w:cstheme="minorHAnsi"/>
        </w:rPr>
        <w:t xml:space="preserve">, </w:t>
      </w:r>
      <w:r w:rsidR="00BC62BC">
        <w:rPr>
          <w:rFonts w:cstheme="minorHAnsi"/>
        </w:rPr>
        <w:t xml:space="preserve">let </w:t>
      </w:r>
      <m:oMath>
        <m:sSubSup>
          <m:sSubSupPr>
            <m:ctrlPr>
              <w:rPr>
                <w:rFonts w:ascii="Cambria Math" w:hAnsi="Cambria Math" w:cstheme="minorHAnsi"/>
                <w:i/>
              </w:rPr>
            </m:ctrlPr>
          </m:sSubSupPr>
          <m:e>
            <m:r>
              <m:rPr>
                <m:sty m:val="p"/>
              </m:rPr>
              <w:rPr>
                <w:rFonts w:ascii="Cambria Math" w:hAnsi="Cambria Math" w:cstheme="minorHAnsi"/>
              </w:rPr>
              <m:t>π</m:t>
            </m:r>
          </m:e>
          <m:sub>
            <m:r>
              <w:rPr>
                <w:rFonts w:ascii="Cambria Math" w:hAnsi="Cambria Math" w:cstheme="minorHAnsi"/>
              </w:rPr>
              <m:t>c</m:t>
            </m:r>
          </m:sub>
          <m:sup>
            <m:r>
              <w:rPr>
                <w:rFonts w:ascii="Cambria Math" w:hAnsi="Cambria Math"/>
                <w:caps/>
              </w:rPr>
              <m:t>γ</m:t>
            </m:r>
          </m:sup>
        </m:sSubSup>
      </m:oMath>
      <w:r w:rsidR="002417E5" w:rsidRPr="002417E5">
        <w:rPr>
          <w:rFonts w:eastAsiaTheme="minorEastAsia" w:cstheme="minorHAnsi"/>
        </w:rPr>
        <w:t xml:space="preserve"> </w:t>
      </w:r>
      <w:r w:rsidR="002417E5">
        <w:rPr>
          <w:rFonts w:eastAsiaTheme="minorEastAsia" w:cstheme="minorHAnsi"/>
        </w:rPr>
        <w:t xml:space="preserve">be the set of probability measures on payoffs induced by </w:t>
      </w:r>
      <w:r w:rsidR="005F3AB5">
        <w:rPr>
          <w:rFonts w:eastAsiaTheme="minorEastAsia" w:cstheme="minorHAnsi"/>
        </w:rPr>
        <w:t>the smallest set of prob</w:t>
      </w:r>
      <w:r w:rsidR="009B0076">
        <w:rPr>
          <w:rFonts w:eastAsiaTheme="minorEastAsia" w:cstheme="minorHAnsi"/>
        </w:rPr>
        <w:t xml:space="preserve">abilities </w:t>
      </w:r>
      <w:r w:rsidR="005F3AB5">
        <w:rPr>
          <w:rFonts w:eastAsiaTheme="minorEastAsia" w:cstheme="minorHAnsi"/>
        </w:rPr>
        <w:t xml:space="preserve">sufficient to achieve confidence </w:t>
      </w:r>
      <m:oMath>
        <m:r>
          <w:rPr>
            <w:rFonts w:ascii="Cambria Math" w:hAnsi="Cambria Math"/>
            <w:caps/>
          </w:rPr>
          <m:t>γ</m:t>
        </m:r>
      </m:oMath>
      <w:r w:rsidR="005F3AB5">
        <w:rPr>
          <w:rFonts w:eastAsiaTheme="minorEastAsia" w:cstheme="minorHAnsi"/>
        </w:rPr>
        <w:t xml:space="preserve"> </w:t>
      </w:r>
      <w:r w:rsidR="00FD1485">
        <w:rPr>
          <w:rFonts w:eastAsiaTheme="minorEastAsia" w:cstheme="minorHAnsi"/>
        </w:rPr>
        <w:t>and</w:t>
      </w:r>
      <w:r w:rsidR="002417E5">
        <w:rPr>
          <w:rFonts w:eastAsiaTheme="minorEastAsia" w:cstheme="minorHAnsi"/>
        </w:rPr>
        <w:t xml:space="preserve"> the</w:t>
      </w:r>
      <w:r w:rsidR="003C51BD">
        <w:rPr>
          <w:rFonts w:eastAsiaTheme="minorEastAsia" w:cstheme="minorHAnsi"/>
        </w:rPr>
        <w:t xml:space="preserve"> new</w:t>
      </w:r>
      <w:r w:rsidR="002417E5">
        <w:rPr>
          <w:rFonts w:eastAsiaTheme="minorEastAsia" w:cstheme="minorHAnsi"/>
        </w:rPr>
        <w:t xml:space="preserve"> contract </w:t>
      </w:r>
      <w:r w:rsidR="002417E5">
        <w:rPr>
          <w:rFonts w:eastAsiaTheme="minorEastAsia" w:cstheme="minorHAnsi"/>
          <w:i/>
        </w:rPr>
        <w:t>c</w:t>
      </w:r>
      <w:r w:rsidR="00E628C6">
        <w:t>. The</w:t>
      </w:r>
      <w:r w:rsidR="002417E5">
        <w:t>n the</w:t>
      </w:r>
      <w:r w:rsidR="00E628C6">
        <w:t xml:space="preserve"> highest of the resultant range of prices </w:t>
      </w:r>
      <w:r w:rsidR="005F3AB5">
        <w:t>calculated using each of the members</w:t>
      </w:r>
      <w:r w:rsidR="005F3AB5" w:rsidRPr="005F3AB5">
        <w:rPr>
          <w:rFonts w:cstheme="minorHAnsi"/>
        </w:rPr>
        <w:t xml:space="preserve"> </w:t>
      </w:r>
      <w:r w:rsidR="005F3AB5">
        <w:rPr>
          <w:rFonts w:cstheme="minorHAnsi"/>
        </w:rPr>
        <w:t xml:space="preserve">of </w:t>
      </w:r>
      <m:oMath>
        <m:sSubSup>
          <m:sSubSupPr>
            <m:ctrlPr>
              <w:rPr>
                <w:rFonts w:ascii="Cambria Math" w:hAnsi="Cambria Math" w:cstheme="minorHAnsi"/>
                <w:i/>
              </w:rPr>
            </m:ctrlPr>
          </m:sSubSupPr>
          <m:e>
            <m:r>
              <m:rPr>
                <m:sty m:val="p"/>
              </m:rPr>
              <w:rPr>
                <w:rFonts w:ascii="Cambria Math" w:hAnsi="Cambria Math" w:cstheme="minorHAnsi"/>
              </w:rPr>
              <m:t>π</m:t>
            </m:r>
          </m:e>
          <m:sub>
            <m:r>
              <w:rPr>
                <w:rFonts w:ascii="Cambria Math" w:hAnsi="Cambria Math" w:cstheme="minorHAnsi"/>
              </w:rPr>
              <m:t>c</m:t>
            </m:r>
          </m:sub>
          <m:sup>
            <m:r>
              <w:rPr>
                <w:rFonts w:ascii="Cambria Math" w:hAnsi="Cambria Math"/>
                <w:caps/>
              </w:rPr>
              <m:t>γ</m:t>
            </m:r>
          </m:sup>
        </m:sSubSup>
      </m:oMath>
      <w:r w:rsidR="005F3AB5">
        <w:t xml:space="preserve"> should</w:t>
      </w:r>
      <w:r w:rsidR="00312B7C">
        <w:t xml:space="preserve"> be selected. </w:t>
      </w:r>
      <w:proofErr w:type="gramStart"/>
      <w:r w:rsidR="00312B7C">
        <w:t>In particular</w:t>
      </w:r>
      <w:r w:rsidR="00B7230E">
        <w:t>,</w:t>
      </w:r>
      <w:r w:rsidR="00C97712">
        <w:t xml:space="preserve"> if</w:t>
      </w:r>
      <w:proofErr w:type="gramEnd"/>
      <w:r w:rsidR="00C97712">
        <w:t xml:space="preserve"> the Kreps formula is used</w:t>
      </w:r>
      <w:r w:rsidR="00312B7C">
        <w:t xml:space="preserve"> for pricing</w:t>
      </w:r>
      <w:r w:rsidR="00CA258A">
        <w:t>,</w:t>
      </w:r>
      <w:r w:rsidR="00312B7C">
        <w:t xml:space="preserve"> then</w:t>
      </w:r>
      <w:r w:rsidR="007910AE">
        <w:t xml:space="preserve"> she should require</w:t>
      </w:r>
      <w:r w:rsidR="00C97712">
        <w:t>:</w:t>
      </w:r>
    </w:p>
    <w:p w14:paraId="68ECB8D4" w14:textId="241958D8" w:rsidR="0037349F" w:rsidRPr="00E628C6" w:rsidRDefault="00F67410" w:rsidP="004F4B8F">
      <w:pPr>
        <w:spacing w:before="120" w:after="240" w:line="360" w:lineRule="auto"/>
        <w:ind w:firstLine="720"/>
        <w:rPr>
          <w:rFonts w:eastAsiaTheme="minorEastAsia"/>
        </w:rPr>
      </w:pP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c</m:t>
            </m:r>
          </m:sub>
        </m:sSub>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MAX</m:t>
            </m:r>
          </m:fName>
          <m:e>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μ</m:t>
                </m:r>
              </m:e>
              <m:sub>
                <m:r>
                  <w:rPr>
                    <w:rFonts w:ascii="Cambria Math" w:eastAsiaTheme="minorEastAsia" w:hAnsi="Cambria Math"/>
                  </w:rPr>
                  <m:t>c</m:t>
                </m:r>
              </m:sub>
              <m:sup>
                <m:r>
                  <w:rPr>
                    <w:rFonts w:ascii="Cambria Math" w:eastAsiaTheme="minorEastAsia" w:hAnsi="Cambria Math"/>
                  </w:rPr>
                  <m:t>i</m:t>
                </m:r>
              </m:sup>
            </m:sSubSup>
            <m:r>
              <w:rPr>
                <w:rFonts w:ascii="Cambria Math" w:eastAsiaTheme="minorEastAsia" w:hAnsi="Cambria Math"/>
              </w:rPr>
              <m:t>+ι.</m:t>
            </m:r>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c</m:t>
                </m:r>
              </m:sub>
              <m:sup>
                <m:r>
                  <w:rPr>
                    <w:rFonts w:ascii="Cambria Math" w:eastAsiaTheme="minorEastAsia" w:hAnsi="Cambria Math"/>
                  </w:rPr>
                  <m:t>i</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P</m:t>
                </m:r>
              </m:e>
              <m:sub>
                <m:r>
                  <w:rPr>
                    <w:rFonts w:ascii="Cambria Math" w:eastAsiaTheme="minorEastAsia" w:hAnsi="Cambria Math"/>
                  </w:rPr>
                  <m:t>c</m:t>
                </m:r>
              </m:sub>
              <m:sup>
                <m:r>
                  <w:rPr>
                    <w:rFonts w:ascii="Cambria Math" w:eastAsiaTheme="minorEastAsia" w:hAnsi="Cambria Math"/>
                  </w:rPr>
                  <m:t>i</m:t>
                </m:r>
              </m:sup>
            </m:sSubSup>
            <m:r>
              <w:rPr>
                <w:rFonts w:ascii="Cambria Math" w:eastAsiaTheme="minorEastAsia" w:hAnsi="Cambria Math"/>
              </w:rPr>
              <m:t>∈</m:t>
            </m:r>
            <m:sSubSup>
              <m:sSubSupPr>
                <m:ctrlPr>
                  <w:rPr>
                    <w:rFonts w:ascii="Cambria Math" w:hAnsi="Cambria Math" w:cstheme="minorHAnsi"/>
                    <w:i/>
                  </w:rPr>
                </m:ctrlPr>
              </m:sSubSupPr>
              <m:e>
                <m:r>
                  <m:rPr>
                    <m:sty m:val="p"/>
                  </m:rPr>
                  <w:rPr>
                    <w:rFonts w:ascii="Cambria Math" w:hAnsi="Cambria Math" w:cstheme="minorHAnsi"/>
                  </w:rPr>
                  <m:t>π</m:t>
                </m:r>
              </m:e>
              <m:sub>
                <m:r>
                  <w:rPr>
                    <w:rFonts w:ascii="Cambria Math" w:hAnsi="Cambria Math" w:cstheme="minorHAnsi"/>
                  </w:rPr>
                  <m:t>c</m:t>
                </m:r>
              </m:sub>
              <m:sup>
                <m:r>
                  <w:rPr>
                    <w:rFonts w:ascii="Cambria Math" w:hAnsi="Cambria Math"/>
                    <w:caps/>
                  </w:rPr>
                  <m:t>γ</m:t>
                </m:r>
              </m:sup>
            </m:sSubSup>
            <m:r>
              <w:rPr>
                <w:rFonts w:ascii="Cambria Math" w:eastAsiaTheme="minorEastAsia" w:hAnsi="Cambria Math"/>
              </w:rPr>
              <m:t>}</m:t>
            </m:r>
          </m:e>
        </m:func>
      </m:oMath>
      <w:r w:rsidR="00E628C6">
        <w:rPr>
          <w:rFonts w:eastAsiaTheme="minorEastAsia"/>
        </w:rPr>
        <w:t xml:space="preserve"> </w:t>
      </w:r>
      <w:r w:rsidR="00E628C6">
        <w:rPr>
          <w:rFonts w:eastAsiaTheme="minorEastAsia"/>
        </w:rPr>
        <w:tab/>
      </w:r>
      <w:r w:rsidR="003C0604">
        <w:rPr>
          <w:rFonts w:eastAsiaTheme="minorEastAsia"/>
        </w:rPr>
        <w:tab/>
      </w:r>
      <w:r w:rsidR="00A4563A">
        <w:rPr>
          <w:rFonts w:eastAsiaTheme="minorEastAsia"/>
        </w:rPr>
        <w:t>(5</w:t>
      </w:r>
      <w:r w:rsidR="00281719">
        <w:rPr>
          <w:rFonts w:eastAsiaTheme="minorEastAsia"/>
        </w:rPr>
        <w:t>)</w:t>
      </w:r>
    </w:p>
    <w:p w14:paraId="5C7B7F05" w14:textId="77777777" w:rsidR="000B0A08" w:rsidRDefault="000B253F" w:rsidP="004F4B8F">
      <w:pPr>
        <w:spacing w:before="120" w:after="240" w:line="360" w:lineRule="auto"/>
      </w:pPr>
      <w:r>
        <w:lastRenderedPageBreak/>
        <w:t xml:space="preserve">At this price the insurer can expect </w:t>
      </w:r>
      <w:r w:rsidRPr="000B253F">
        <w:rPr>
          <w:i/>
        </w:rPr>
        <w:t>with sufficient confidence</w:t>
      </w:r>
      <w:r>
        <w:t xml:space="preserve"> to make a profit and avoid ruin.</w:t>
      </w:r>
    </w:p>
    <w:p w14:paraId="01E4A3E9" w14:textId="114C5E4A" w:rsidR="00673D68" w:rsidRDefault="00E267F6" w:rsidP="004F4B8F">
      <w:pPr>
        <w:spacing w:before="120" w:after="240" w:line="360" w:lineRule="auto"/>
      </w:pPr>
      <w:r>
        <w:t>In practice</w:t>
      </w:r>
      <w:r w:rsidR="007B0BDA">
        <w:t xml:space="preserve"> market competition makes individual</w:t>
      </w:r>
      <w:r>
        <w:t xml:space="preserve"> insurers price takers </w:t>
      </w:r>
      <w:r w:rsidR="007B0BDA">
        <w:t>and the significant decision is whether to write policies at the market price and how much exposure to accept</w:t>
      </w:r>
      <w:r w:rsidR="00EA16D7">
        <w:t>, in the light of the ‘technical’ price obtained by application of their pricing formula</w:t>
      </w:r>
      <w:r w:rsidR="007B0BDA">
        <w:t xml:space="preserve">. </w:t>
      </w:r>
      <w:r w:rsidR="00ED22F3">
        <w:t>Confidence considerations should play an important role here</w:t>
      </w:r>
      <w:r w:rsidR="00673D68">
        <w:t xml:space="preserve"> as well</w:t>
      </w:r>
      <w:r w:rsidR="00ED22F3">
        <w:t xml:space="preserve">. Consider, for example, a very simple case in which an insurer can decide whether to write a certain quantity of business in two different markets </w:t>
      </w:r>
      <w:r w:rsidR="00281719">
        <w:t xml:space="preserve">for protection against losses deriving from events uncorrelated with her current book </w:t>
      </w:r>
      <w:r w:rsidR="00ED22F3">
        <w:t>(</w:t>
      </w:r>
      <w:proofErr w:type="gramStart"/>
      <w:r w:rsidR="00ED22F3">
        <w:t>e.g.</w:t>
      </w:r>
      <w:proofErr w:type="gramEnd"/>
      <w:r w:rsidR="00ED22F3">
        <w:t xml:space="preserve"> hurricane insurance in Florida and earthquake insurance in </w:t>
      </w:r>
      <w:r w:rsidR="00C36390">
        <w:t>Pakistan</w:t>
      </w:r>
      <w:r w:rsidR="00ED22F3">
        <w:t>)</w:t>
      </w:r>
      <w:r w:rsidR="00281719">
        <w:t>.</w:t>
      </w:r>
      <w:r w:rsidR="00ED22F3">
        <w:t xml:space="preserve"> Suppose that the best estimate of the exceedance probabilities is the same for both contracts but that the weight of evidence supporting those for the first (say the hurricane projections) is much greater than those for the second (the earthquake projections). The situation is then as illustrated by </w:t>
      </w:r>
      <w:r w:rsidR="00622A13">
        <w:t>Figure</w:t>
      </w:r>
      <w:r w:rsidR="00A10E34">
        <w:t>s</w:t>
      </w:r>
      <w:r w:rsidR="00ED22F3">
        <w:t xml:space="preserve"> </w:t>
      </w:r>
      <w:r w:rsidR="00A10E34">
        <w:t xml:space="preserve">II and III </w:t>
      </w:r>
      <w:r w:rsidR="00ED22F3">
        <w:t xml:space="preserve">in which for any confidence level the set of probabilities required to achieve that level is larger for the earthquake projections </w:t>
      </w:r>
      <w:r w:rsidR="00673D68">
        <w:t xml:space="preserve">(given by </w:t>
      </w:r>
      <w:r w:rsidR="00622A13">
        <w:t>Figure</w:t>
      </w:r>
      <w:r w:rsidR="00A9697D">
        <w:t xml:space="preserve"> II) </w:t>
      </w:r>
      <w:r w:rsidR="00ED22F3">
        <w:t>than the hurricane ones</w:t>
      </w:r>
      <w:r w:rsidR="00673D68">
        <w:t xml:space="preserve"> (</w:t>
      </w:r>
      <w:r w:rsidR="00CA258A">
        <w:t xml:space="preserve">given by </w:t>
      </w:r>
      <w:r w:rsidR="00622A13">
        <w:t>Figure</w:t>
      </w:r>
      <w:r w:rsidR="00A9697D">
        <w:t xml:space="preserve"> III)</w:t>
      </w:r>
      <w:r w:rsidR="00ED22F3">
        <w:t xml:space="preserve">. </w:t>
      </w:r>
      <w:r w:rsidR="00281719">
        <w:t>Ap</w:t>
      </w:r>
      <w:r w:rsidR="003C51BD">
        <w:t>plication of pricing equation (5</w:t>
      </w:r>
      <w:r w:rsidR="00281719">
        <w:t>) will then yield higher minimum prices for the insurance against earthquake damage than hurricane damage</w:t>
      </w:r>
      <w:r w:rsidR="003C51BD">
        <w:t>. The</w:t>
      </w:r>
      <w:r w:rsidR="00027B11">
        <w:t xml:space="preserve"> insurer </w:t>
      </w:r>
      <w:r w:rsidR="00A10473">
        <w:t>should</w:t>
      </w:r>
      <w:r w:rsidR="003C51BD">
        <w:t xml:space="preserve"> therefore</w:t>
      </w:r>
      <w:r w:rsidR="00027B11">
        <w:t xml:space="preserve"> enter the first market in preference to the second</w:t>
      </w:r>
      <w:r w:rsidR="00251A37">
        <w:t xml:space="preserve"> </w:t>
      </w:r>
      <w:r w:rsidR="003C51BD">
        <w:t>if</w:t>
      </w:r>
      <w:r w:rsidR="00251A37">
        <w:t xml:space="preserve"> market prices for insurance are </w:t>
      </w:r>
      <w:r w:rsidR="003C51BD">
        <w:t>the same in both. More generally, they should prefer the first in case the difference in price required to achieve the requisite confidence of ruin avoidance exceeds the difference in the price for insurance contracts in the two markets.</w:t>
      </w:r>
    </w:p>
    <w:p w14:paraId="714E27B6" w14:textId="0DA921F2" w:rsidR="00673D68" w:rsidRDefault="00673D68" w:rsidP="004F4B8F">
      <w:pPr>
        <w:autoSpaceDE w:val="0"/>
        <w:autoSpaceDN w:val="0"/>
        <w:adjustRightInd w:val="0"/>
        <w:spacing w:before="120" w:after="240" w:line="360" w:lineRule="auto"/>
      </w:pPr>
      <w:r>
        <w:t>[Insert Figure III here]</w:t>
      </w:r>
    </w:p>
    <w:p w14:paraId="4BBB2626" w14:textId="4B15A887" w:rsidR="0008741B" w:rsidRDefault="003C51BD" w:rsidP="004F4B8F">
      <w:pPr>
        <w:spacing w:before="120" w:after="240" w:line="360" w:lineRule="auto"/>
      </w:pPr>
      <w:r>
        <w:t>The argument of the previous paragraph implicitly rests on the assumption that the insurer</w:t>
      </w:r>
      <w:r w:rsidR="00C36390">
        <w:t>’s</w:t>
      </w:r>
      <w:r>
        <w:t xml:space="preserve"> exposure to the two events (the hurricanes and earthquakes) is roughly the same. When this is not the case consideration </w:t>
      </w:r>
      <w:r w:rsidR="00CC2B0B">
        <w:t xml:space="preserve">must also be given to </w:t>
      </w:r>
      <w:r>
        <w:t>the oppor</w:t>
      </w:r>
      <w:r w:rsidR="00CC2B0B">
        <w:t>tunity</w:t>
      </w:r>
      <w:r w:rsidR="00A10473">
        <w:t xml:space="preserve"> to hedge risks </w:t>
      </w:r>
      <w:r>
        <w:t xml:space="preserve">afforded </w:t>
      </w:r>
      <w:r w:rsidR="00A10473">
        <w:t xml:space="preserve">by diversifying </w:t>
      </w:r>
      <w:r w:rsidR="00A10473">
        <w:lastRenderedPageBreak/>
        <w:t>one’s portfolio of business. To keep things simple</w:t>
      </w:r>
      <w:r>
        <w:t>,</w:t>
      </w:r>
      <w:r w:rsidR="00A10473">
        <w:t xml:space="preserve"> suppose that the insurer has already written a good deal of hurricane insurance </w:t>
      </w:r>
      <w:r>
        <w:t xml:space="preserve">but none for earthquakes </w:t>
      </w:r>
      <w:r w:rsidR="00A10473">
        <w:t xml:space="preserve">and must now choose between writing more contracts </w:t>
      </w:r>
      <w:r w:rsidR="00CC2B0B">
        <w:t>for hurricanes</w:t>
      </w:r>
      <w:r w:rsidR="00A10473">
        <w:t xml:space="preserve"> or writing</w:t>
      </w:r>
      <w:r w:rsidR="00CC2B0B">
        <w:t xml:space="preserve"> the same volume of business</w:t>
      </w:r>
      <w:r w:rsidR="00A10473">
        <w:t xml:space="preserve"> in insurance against earthquake damage. Now two considerations will need to be balanced: the fact that writing earthquake insurance affords a hedging of the risks and the fact that projections of earthquake-caused losses are more ambiguous. </w:t>
      </w:r>
      <w:r>
        <w:t xml:space="preserve">We can do this by applying the Kreps pricing formula to </w:t>
      </w:r>
      <w:r w:rsidR="00CC2B0B">
        <w:t>marginal increases in busines</w:t>
      </w:r>
      <w:r w:rsidR="00922F14">
        <w:t>s in both markets and identifying the apportioning of business that equalises the differences between market</w:t>
      </w:r>
      <w:r w:rsidR="00891B55">
        <w:t xml:space="preserve"> and technical prices.</w:t>
      </w:r>
    </w:p>
    <w:p w14:paraId="2CE1BC59" w14:textId="4B12127D" w:rsidR="007E2AB2" w:rsidRDefault="002026D9" w:rsidP="004F4B8F">
      <w:pPr>
        <w:spacing w:before="120" w:after="240" w:line="360" w:lineRule="auto"/>
      </w:pPr>
      <w:r>
        <w:t>Let u</w:t>
      </w:r>
      <w:r w:rsidR="0008741B">
        <w:t>s tu</w:t>
      </w:r>
      <w:r w:rsidR="00CA258A">
        <w:t>rn finally to the possibility of</w:t>
      </w:r>
      <w:r w:rsidR="0008741B">
        <w:t xml:space="preserve"> reducing exposure through reinsurance. </w:t>
      </w:r>
      <w:r>
        <w:t xml:space="preserve">Figure IV below shows </w:t>
      </w:r>
      <w:r w:rsidR="002E72F4">
        <w:t>three loss exceedance curves deriving from different models of the underlying hazards and of the vulnerability of insured assets. Suppose that the insurer’s confidence requirement dictates that they consider</w:t>
      </w:r>
      <w:r w:rsidR="00D67BFE">
        <w:t xml:space="preserve"> all three curves. Application of</w:t>
      </w:r>
      <w:r w:rsidR="00751E01">
        <w:t xml:space="preserve"> </w:t>
      </w:r>
      <w:r w:rsidR="00D67BFE">
        <w:t xml:space="preserve">equation (4) with a threshold of 0.2% yields a relatively high capital holding requirement of around </w:t>
      </w:r>
      <w:r w:rsidR="0013491C">
        <w:t>10 million dollars</w:t>
      </w:r>
      <w:r w:rsidR="00D67BFE">
        <w:t>. To avoid this the insurer could seek to reinsure against the losses associated with the 5% - 0.2% probability range with a less ambiguity averse reinsurer. For instance</w:t>
      </w:r>
      <w:r w:rsidR="0013491C">
        <w:t>,</w:t>
      </w:r>
      <w:r w:rsidR="00D67BFE">
        <w:t xml:space="preserve"> suppose the reinsurer </w:t>
      </w:r>
      <w:r w:rsidR="007E2AB2">
        <w:t xml:space="preserve">is ambiguity neutral and </w:t>
      </w:r>
      <w:r w:rsidR="00D67BFE">
        <w:t>uses only the grey loss exceedance curve</w:t>
      </w:r>
      <w:r w:rsidR="0013491C">
        <w:t xml:space="preserve"> so that </w:t>
      </w:r>
      <w:r w:rsidR="00F54C4B">
        <w:t>application of the 0.2% threshold</w:t>
      </w:r>
      <w:r w:rsidR="000470F9">
        <w:t xml:space="preserve"> would imply capital holdings of 8 million dollars. </w:t>
      </w:r>
      <w:r w:rsidR="00594CDE">
        <w:t>Then while the insure</w:t>
      </w:r>
      <w:r w:rsidR="00CA258A">
        <w:t>r must set aside an additional seven</w:t>
      </w:r>
      <w:r w:rsidR="00594CDE">
        <w:t xml:space="preserve"> million dollars to take the risk of ruin from below 5% to below 0.2%, the reinsurer can achieve this by setting aside only an additional </w:t>
      </w:r>
      <w:r w:rsidR="00CA258A">
        <w:t>five</w:t>
      </w:r>
      <w:r w:rsidR="00594CDE">
        <w:t xml:space="preserve"> million dollars.</w:t>
      </w:r>
      <w:r w:rsidR="00F6598D">
        <w:t xml:space="preserve"> </w:t>
      </w:r>
      <w:r w:rsidR="00CA258A">
        <w:t>The difference in the opportunity costs of a capital holding of seven and five million represents the potential gains from reinsurance.</w:t>
      </w:r>
    </w:p>
    <w:p w14:paraId="6B0366D0" w14:textId="77777777" w:rsidR="001A4556" w:rsidRDefault="001A4556" w:rsidP="004F4B8F">
      <w:pPr>
        <w:spacing w:before="120" w:after="240" w:line="360" w:lineRule="auto"/>
      </w:pPr>
      <w:r>
        <w:t>[Insert Figure IV here]</w:t>
      </w:r>
    </w:p>
    <w:p w14:paraId="7C8C3A83" w14:textId="650E9C84" w:rsidR="00981E44" w:rsidRDefault="00981E44" w:rsidP="004F4B8F">
      <w:pPr>
        <w:spacing w:before="120" w:after="240" w:line="360" w:lineRule="auto"/>
      </w:pPr>
    </w:p>
    <w:p w14:paraId="7C97525C" w14:textId="41BB6E76" w:rsidR="00CA258A" w:rsidRPr="00CA258A" w:rsidRDefault="00CA258A" w:rsidP="004F4B8F">
      <w:pPr>
        <w:spacing w:before="120" w:after="240" w:line="360" w:lineRule="auto"/>
        <w:rPr>
          <w:b/>
        </w:rPr>
      </w:pPr>
      <w:r w:rsidRPr="00CA258A">
        <w:rPr>
          <w:b/>
        </w:rPr>
        <w:lastRenderedPageBreak/>
        <w:t>Concluding Remarks</w:t>
      </w:r>
    </w:p>
    <w:p w14:paraId="5FD727E8" w14:textId="7AC2A259" w:rsidR="009A600B" w:rsidRDefault="009A600B" w:rsidP="004F4B8F">
      <w:pPr>
        <w:spacing w:before="120" w:after="240" w:line="360" w:lineRule="auto"/>
      </w:pPr>
      <w:r>
        <w:t>On t</w:t>
      </w:r>
      <w:r w:rsidR="00CA258A">
        <w:t>he analysis given her</w:t>
      </w:r>
      <w:r>
        <w:t>e, the price of</w:t>
      </w:r>
      <w:r w:rsidR="005E4F40">
        <w:t xml:space="preserve"> catastrophe</w:t>
      </w:r>
      <w:r>
        <w:t xml:space="preserve"> insurance depends on three factors:</w:t>
      </w:r>
    </w:p>
    <w:p w14:paraId="6C547EA8" w14:textId="03B8343B" w:rsidR="009A600B" w:rsidRDefault="009A600B" w:rsidP="004F4B8F">
      <w:pPr>
        <w:pStyle w:val="ListParagraph"/>
        <w:numPr>
          <w:ilvl w:val="0"/>
          <w:numId w:val="12"/>
        </w:numPr>
        <w:spacing w:before="120" w:after="240" w:line="360" w:lineRule="auto"/>
        <w:ind w:firstLine="0"/>
      </w:pPr>
      <w:r>
        <w:t>The a</w:t>
      </w:r>
      <w:r w:rsidRPr="009A600B">
        <w:t>mbiguity profile of projections</w:t>
      </w:r>
      <w:r>
        <w:t xml:space="preserve"> of the insured hazard,</w:t>
      </w:r>
    </w:p>
    <w:p w14:paraId="79A78660" w14:textId="2CEEF024" w:rsidR="009A600B" w:rsidRPr="009A600B" w:rsidRDefault="009A600B" w:rsidP="004F4B8F">
      <w:pPr>
        <w:pStyle w:val="ListParagraph"/>
        <w:numPr>
          <w:ilvl w:val="0"/>
          <w:numId w:val="12"/>
        </w:numPr>
        <w:spacing w:before="120" w:after="240" w:line="360" w:lineRule="auto"/>
        <w:ind w:firstLine="0"/>
      </w:pPr>
      <w:r>
        <w:t>The risk attitudes of insurer as measured by the probability of ruin</w:t>
      </w:r>
      <w:r w:rsidRPr="009A600B">
        <w:t xml:space="preserve"> threshold</w:t>
      </w:r>
      <w:r w:rsidRPr="009A600B">
        <w:rPr>
          <w:i/>
          <w:iCs/>
        </w:rPr>
        <w:t xml:space="preserve"> </w:t>
      </w:r>
      <m:oMath>
        <m:r>
          <w:rPr>
            <w:rFonts w:ascii="Cambria Math" w:hAnsi="Cambria Math"/>
          </w:rPr>
          <m:t>κ</m:t>
        </m:r>
      </m:oMath>
      <w:r>
        <w:t xml:space="preserve"> and the </w:t>
      </w:r>
      <w:r w:rsidRPr="009A600B">
        <w:t xml:space="preserve">confidence requirement </w:t>
      </w:r>
      <m:oMath>
        <m:r>
          <w:rPr>
            <w:rFonts w:ascii="Cambria Math" w:hAnsi="Cambria Math"/>
          </w:rPr>
          <m:t>λ</m:t>
        </m:r>
      </m:oMath>
      <w:r>
        <w:rPr>
          <w:rFonts w:eastAsiaTheme="minorEastAsia"/>
          <w:iCs/>
        </w:rPr>
        <w:t>,</w:t>
      </w:r>
    </w:p>
    <w:p w14:paraId="6461467B" w14:textId="6F0F3586" w:rsidR="009A600B" w:rsidRDefault="009A600B" w:rsidP="004F4B8F">
      <w:pPr>
        <w:pStyle w:val="ListParagraph"/>
        <w:numPr>
          <w:ilvl w:val="0"/>
          <w:numId w:val="12"/>
        </w:numPr>
        <w:spacing w:before="120" w:after="240" w:line="360" w:lineRule="auto"/>
        <w:ind w:firstLine="0"/>
      </w:pPr>
      <w:r>
        <w:t xml:space="preserve">The exposure characteristics of the insurer’s book; </w:t>
      </w:r>
      <w:proofErr w:type="gramStart"/>
      <w:r>
        <w:t>in particular its</w:t>
      </w:r>
      <w:proofErr w:type="gramEnd"/>
      <w:r>
        <w:t xml:space="preserve"> size and diversity</w:t>
      </w:r>
      <w:r w:rsidR="0019777A">
        <w:t xml:space="preserve">, as captured by </w:t>
      </w:r>
      <m:oMath>
        <m:sSub>
          <m:sSubPr>
            <m:ctrlPr>
              <w:rPr>
                <w:rFonts w:ascii="Cambria Math" w:hAnsi="Cambria Math"/>
              </w:rPr>
            </m:ctrlPr>
          </m:sSubPr>
          <m:e>
            <m:r>
              <w:rPr>
                <w:rFonts w:ascii="Cambria Math" w:hAnsi="Cambria Math"/>
              </w:rPr>
              <m:t>μ</m:t>
            </m:r>
          </m:e>
          <m:sub>
            <m:r>
              <w:rPr>
                <w:rFonts w:ascii="Cambria Math" w:hAnsi="Cambria Math"/>
              </w:rPr>
              <m:t>b</m:t>
            </m:r>
          </m:sub>
        </m:sSub>
      </m:oMath>
      <w:r w:rsidR="00F04ED9">
        <w:rPr>
          <w:rFonts w:eastAsiaTheme="minorEastAsia"/>
        </w:rPr>
        <w:t xml:space="preserve"> and </w:t>
      </w:r>
      <m:oMath>
        <m:sSub>
          <m:sSubPr>
            <m:ctrlPr>
              <w:rPr>
                <w:rFonts w:ascii="Cambria Math" w:hAnsi="Cambria Math"/>
              </w:rPr>
            </m:ctrlPr>
          </m:sSubPr>
          <m:e>
            <m:r>
              <w:rPr>
                <w:rFonts w:ascii="Cambria Math" w:hAnsi="Cambria Math"/>
              </w:rPr>
              <m:t>σ</m:t>
            </m:r>
          </m:e>
          <m:sub>
            <m:r>
              <w:rPr>
                <w:rFonts w:ascii="Cambria Math" w:hAnsi="Cambria Math"/>
              </w:rPr>
              <m:t>b</m:t>
            </m:r>
          </m:sub>
        </m:sSub>
      </m:oMath>
      <w:r w:rsidR="00F04ED9">
        <w:rPr>
          <w:rFonts w:eastAsiaTheme="minorEastAsia"/>
        </w:rPr>
        <w:t>.</w:t>
      </w:r>
    </w:p>
    <w:p w14:paraId="7DED29F7" w14:textId="467E75D6" w:rsidR="009A600B" w:rsidRDefault="009A600B" w:rsidP="004F4B8F">
      <w:pPr>
        <w:spacing w:before="120" w:after="240" w:line="360" w:lineRule="auto"/>
      </w:pPr>
      <w:r>
        <w:t xml:space="preserve">This suggests three corresponding ways in which the price of insurance can be reduced. This first is through </w:t>
      </w:r>
      <w:r w:rsidR="004E41E1">
        <w:t>improvements in scientific understanding of the hazard. While new res</w:t>
      </w:r>
      <w:r w:rsidR="00B465A6">
        <w:t xml:space="preserve">earch may of course lead to higher estimates of the probability of the hazard, the increase in </w:t>
      </w:r>
      <w:r w:rsidR="00AF13BD">
        <w:t xml:space="preserve">confidence that improvements in scientific understanding justify will serve to offset this to some degree (and magnify the effect </w:t>
      </w:r>
      <w:r w:rsidR="002D56BB">
        <w:t xml:space="preserve">on the price </w:t>
      </w:r>
      <w:r w:rsidR="00AF13BD">
        <w:t xml:space="preserve">of a reduced </w:t>
      </w:r>
      <w:r w:rsidR="002D56BB">
        <w:t xml:space="preserve">probability </w:t>
      </w:r>
      <w:r w:rsidR="00AF13BD">
        <w:t xml:space="preserve">estimate). </w:t>
      </w:r>
    </w:p>
    <w:p w14:paraId="2FEC196B" w14:textId="09409ED4" w:rsidR="00AF13BD" w:rsidRDefault="00AF13BD" w:rsidP="004F4B8F">
      <w:pPr>
        <w:spacing w:before="120" w:after="240" w:line="360" w:lineRule="auto"/>
      </w:pPr>
      <w:r>
        <w:t xml:space="preserve">The second path is through the optimisation of exposure characteristics of the insurer’s book; for instance, through hedging against exposure to one kind of peril in one region by selling contracts for different perils or in other regions. </w:t>
      </w:r>
      <w:r w:rsidR="0062610F">
        <w:t>The benefits of hedging under risk are well-understood</w:t>
      </w:r>
      <w:r w:rsidR="00F70B7F">
        <w:t xml:space="preserve">, but the analysis here shows that they </w:t>
      </w:r>
      <w:proofErr w:type="gramStart"/>
      <w:r w:rsidR="00F70B7F">
        <w:t>have to</w:t>
      </w:r>
      <w:proofErr w:type="gramEnd"/>
      <w:r w:rsidR="00F70B7F">
        <w:t xml:space="preserve"> be</w:t>
      </w:r>
      <w:r w:rsidR="0034270E">
        <w:t xml:space="preserve"> balanced against increases in ambiguity that </w:t>
      </w:r>
      <w:r w:rsidR="001724CB">
        <w:t xml:space="preserve">may result from selling contracts in </w:t>
      </w:r>
      <w:r w:rsidR="00624AF4">
        <w:t xml:space="preserve">perils or </w:t>
      </w:r>
      <w:r w:rsidR="0051028D">
        <w:t xml:space="preserve">for </w:t>
      </w:r>
      <w:r w:rsidR="00624AF4">
        <w:t>regions</w:t>
      </w:r>
      <w:r w:rsidR="0051028D">
        <w:t xml:space="preserve"> for which the level of scientific uncertainty </w:t>
      </w:r>
      <w:r w:rsidR="005838AE">
        <w:t>understanding is lower</w:t>
      </w:r>
      <w:r w:rsidR="00624AF4">
        <w:t>.</w:t>
      </w:r>
    </w:p>
    <w:p w14:paraId="1732BCEC" w14:textId="093EDD99" w:rsidR="00B465A6" w:rsidRDefault="00226CF7" w:rsidP="004F4B8F">
      <w:pPr>
        <w:spacing w:before="120" w:after="240" w:line="360" w:lineRule="auto"/>
      </w:pPr>
      <w:r>
        <w:t>The third and final way in which prices</w:t>
      </w:r>
      <w:r w:rsidR="00AF13BD">
        <w:t xml:space="preserve"> can be reduced</w:t>
      </w:r>
      <w:r>
        <w:t xml:space="preserve"> is</w:t>
      </w:r>
      <w:r w:rsidR="00AF13BD">
        <w:t xml:space="preserve"> by risk transfer </w:t>
      </w:r>
      <w:proofErr w:type="gramStart"/>
      <w:r w:rsidR="00B465A6" w:rsidRPr="009A600B">
        <w:t>e.g.</w:t>
      </w:r>
      <w:proofErr w:type="gramEnd"/>
      <w:r w:rsidR="00B465A6" w:rsidRPr="009A600B">
        <w:t xml:space="preserve"> </w:t>
      </w:r>
      <w:r w:rsidR="00AF13BD">
        <w:t xml:space="preserve">through reinsurance or partial socialisation of the risk or </w:t>
      </w:r>
      <w:r w:rsidR="00B465A6" w:rsidRPr="009A600B">
        <w:t>government</w:t>
      </w:r>
      <w:r w:rsidR="00AF13BD">
        <w:t xml:space="preserve"> take-up of layers of the </w:t>
      </w:r>
      <w:r w:rsidR="006874B2">
        <w:t>exposure</w:t>
      </w:r>
      <w:r w:rsidR="00AF13BD">
        <w:t xml:space="preserve">. </w:t>
      </w:r>
      <w:r w:rsidR="00330E49">
        <w:t xml:space="preserve">Again, there is nothing new about this, but the </w:t>
      </w:r>
      <w:r w:rsidR="00FB557C">
        <w:t xml:space="preserve">presence of ambiguity offers additional need and opportunity for </w:t>
      </w:r>
      <w:r w:rsidR="0003531C">
        <w:lastRenderedPageBreak/>
        <w:t xml:space="preserve">transferring exposure from the ambiguity averse to agencies that are less so. </w:t>
      </w:r>
      <w:r w:rsidR="002A6B0E">
        <w:t>Indeed</w:t>
      </w:r>
      <w:r w:rsidR="004D085D">
        <w:t>,</w:t>
      </w:r>
      <w:r w:rsidR="002A6B0E">
        <w:t xml:space="preserve"> </w:t>
      </w:r>
      <w:r w:rsidR="004D085D">
        <w:t xml:space="preserve">the </w:t>
      </w:r>
      <w:r w:rsidR="002A6B0E">
        <w:t xml:space="preserve">very high levels of ambiguity </w:t>
      </w:r>
      <w:r w:rsidR="004D085D">
        <w:t>that are</w:t>
      </w:r>
      <w:r w:rsidR="002A6B0E">
        <w:t xml:space="preserve"> characteristic of the rare b</w:t>
      </w:r>
      <w:r w:rsidR="00A675BD">
        <w:t>ut</w:t>
      </w:r>
      <w:r w:rsidR="002A6B0E">
        <w:t xml:space="preserve"> extremely dangerous catastrophic events</w:t>
      </w:r>
      <w:r w:rsidR="00E661E4">
        <w:t xml:space="preserve"> </w:t>
      </w:r>
      <w:r w:rsidR="00922AEB">
        <w:t>may</w:t>
      </w:r>
      <w:r w:rsidR="00E661E4">
        <w:t xml:space="preserve"> </w:t>
      </w:r>
      <w:r w:rsidR="00922AEB">
        <w:t>make it im</w:t>
      </w:r>
      <w:r w:rsidR="00E661E4">
        <w:t>possible to insure against them</w:t>
      </w:r>
      <w:r w:rsidR="00922AEB">
        <w:t xml:space="preserve"> (Charpentier, 2008). </w:t>
      </w:r>
      <w:r w:rsidR="00D851E6">
        <w:t>I</w:t>
      </w:r>
      <w:r w:rsidR="00A675BD">
        <w:t>f</w:t>
      </w:r>
      <w:r w:rsidR="00D851E6">
        <w:t xml:space="preserve"> so,</w:t>
      </w:r>
      <w:r w:rsidR="00922AEB">
        <w:t xml:space="preserve"> developing mechanism</w:t>
      </w:r>
      <w:r w:rsidR="00733927">
        <w:t>s</w:t>
      </w:r>
      <w:r w:rsidR="00922AEB">
        <w:t xml:space="preserve"> for </w:t>
      </w:r>
      <w:r w:rsidR="006874B2">
        <w:t xml:space="preserve">transfer </w:t>
      </w:r>
      <w:r w:rsidR="000D041A">
        <w:t xml:space="preserve">of exposure to </w:t>
      </w:r>
      <w:r w:rsidR="00D851E6">
        <w:t xml:space="preserve">the public sector or international bodies </w:t>
      </w:r>
      <w:r w:rsidR="00A675BD">
        <w:t xml:space="preserve">is </w:t>
      </w:r>
      <w:proofErr w:type="gramStart"/>
      <w:r w:rsidR="00A675BD">
        <w:t>all the more</w:t>
      </w:r>
      <w:proofErr w:type="gramEnd"/>
      <w:r w:rsidR="00A675BD">
        <w:t xml:space="preserve"> pressing.</w:t>
      </w:r>
      <w:r w:rsidR="00733927">
        <w:t xml:space="preserve"> </w:t>
      </w:r>
      <w:r w:rsidR="00D851E6">
        <w:t xml:space="preserve"> </w:t>
      </w:r>
    </w:p>
    <w:p w14:paraId="736998C3" w14:textId="51EB4432" w:rsidR="007F093B" w:rsidRDefault="007F093B" w:rsidP="004F4B8F">
      <w:pPr>
        <w:spacing w:before="120" w:after="240" w:line="360" w:lineRule="auto"/>
      </w:pPr>
    </w:p>
    <w:p w14:paraId="366D2887" w14:textId="7437DF7C" w:rsidR="00992702" w:rsidRPr="00DD24A1" w:rsidRDefault="00992702" w:rsidP="00992702">
      <w:pPr>
        <w:spacing w:before="120" w:after="240" w:line="360" w:lineRule="auto"/>
        <w:rPr>
          <w:b/>
        </w:rPr>
      </w:pPr>
      <w:r>
        <w:rPr>
          <w:b/>
        </w:rPr>
        <w:t>Acknowledgements</w:t>
      </w:r>
    </w:p>
    <w:p w14:paraId="560B394E" w14:textId="789884E8" w:rsidR="00DF6576" w:rsidRDefault="00992702" w:rsidP="00A27D3B">
      <w:pPr>
        <w:spacing w:before="120" w:after="240" w:line="360" w:lineRule="auto"/>
      </w:pPr>
      <w:r>
        <w:t>Removed for blind refe</w:t>
      </w:r>
      <w:r w:rsidR="00C25EFF">
        <w:t>re</w:t>
      </w:r>
      <w:r>
        <w:t>eing</w:t>
      </w:r>
      <w:r w:rsidR="00DF6576">
        <w:br w:type="page"/>
      </w:r>
    </w:p>
    <w:p w14:paraId="02827F1B" w14:textId="77777777" w:rsidR="00992702" w:rsidRPr="00AF13BD" w:rsidRDefault="00992702" w:rsidP="004F4B8F">
      <w:pPr>
        <w:spacing w:before="120" w:after="240" w:line="360" w:lineRule="auto"/>
      </w:pPr>
    </w:p>
    <w:p w14:paraId="35FA15CB" w14:textId="7679D669" w:rsidR="00BB7336" w:rsidRPr="00BC1F67" w:rsidRDefault="00FB3DB5" w:rsidP="00667494">
      <w:pPr>
        <w:spacing w:line="360" w:lineRule="auto"/>
        <w:rPr>
          <w:b/>
        </w:rPr>
      </w:pPr>
      <w:r w:rsidRPr="00BC1F67">
        <w:rPr>
          <w:b/>
          <w:bCs/>
        </w:rPr>
        <w:t>Figures</w:t>
      </w:r>
    </w:p>
    <w:p w14:paraId="55C595D0" w14:textId="77777777" w:rsidR="00A27D3B" w:rsidRDefault="00A27D3B" w:rsidP="00AE48E0">
      <w:pPr>
        <w:autoSpaceDE w:val="0"/>
        <w:autoSpaceDN w:val="0"/>
        <w:adjustRightInd w:val="0"/>
        <w:spacing w:before="120" w:after="240" w:line="276" w:lineRule="auto"/>
      </w:pPr>
    </w:p>
    <w:p w14:paraId="7D6A75FB" w14:textId="0E2FAB26" w:rsidR="00BB7336" w:rsidRPr="00DD06EA" w:rsidRDefault="00BB7336" w:rsidP="00AE48E0">
      <w:pPr>
        <w:autoSpaceDE w:val="0"/>
        <w:autoSpaceDN w:val="0"/>
        <w:adjustRightInd w:val="0"/>
        <w:spacing w:before="120" w:after="240" w:line="276" w:lineRule="auto"/>
      </w:pPr>
      <w:r w:rsidRPr="00DD06EA">
        <w:t>Figure I</w:t>
      </w:r>
      <w:r w:rsidR="007F093B" w:rsidRPr="00DD06EA">
        <w:t xml:space="preserve">: </w:t>
      </w:r>
      <w:r w:rsidR="00337006">
        <w:t xml:space="preserve">Specificity of </w:t>
      </w:r>
      <w:r w:rsidR="00491173" w:rsidRPr="00DD06EA">
        <w:t>Probability Claims</w:t>
      </w:r>
    </w:p>
    <w:p w14:paraId="783D19AA" w14:textId="77777777" w:rsidR="00BB7336" w:rsidRPr="00DD06EA" w:rsidRDefault="00BB7336" w:rsidP="00AE48E0">
      <w:pPr>
        <w:autoSpaceDE w:val="0"/>
        <w:autoSpaceDN w:val="0"/>
        <w:adjustRightInd w:val="0"/>
        <w:spacing w:before="120" w:after="240" w:line="276" w:lineRule="auto"/>
      </w:pPr>
      <w:r>
        <w:rPr>
          <w:noProof/>
          <w:lang w:val="en-US"/>
        </w:rPr>
        <mc:AlternateContent>
          <mc:Choice Requires="wps">
            <w:drawing>
              <wp:anchor distT="0" distB="0" distL="114300" distR="114300" simplePos="0" relativeHeight="251658247" behindDoc="0" locked="0" layoutInCell="1" allowOverlap="1" wp14:anchorId="201B911E" wp14:editId="34171C40">
                <wp:simplePos x="0" y="0"/>
                <wp:positionH relativeFrom="column">
                  <wp:posOffset>47626</wp:posOffset>
                </wp:positionH>
                <wp:positionV relativeFrom="paragraph">
                  <wp:posOffset>36195</wp:posOffset>
                </wp:positionV>
                <wp:extent cx="4942840" cy="5067300"/>
                <wp:effectExtent l="0" t="0" r="10160" b="19050"/>
                <wp:wrapNone/>
                <wp:docPr id="25" name="Rectangle 25"/>
                <wp:cNvGraphicFramePr/>
                <a:graphic xmlns:a="http://schemas.openxmlformats.org/drawingml/2006/main">
                  <a:graphicData uri="http://schemas.microsoft.com/office/word/2010/wordprocessingShape">
                    <wps:wsp>
                      <wps:cNvSpPr/>
                      <wps:spPr>
                        <a:xfrm>
                          <a:off x="0" y="0"/>
                          <a:ext cx="4942840" cy="5067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29310" id="Rectangle 25" o:spid="_x0000_s1026" style="position:absolute;margin-left:3.75pt;margin-top:2.85pt;width:389.2pt;height:39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" filled="f" strokecolor="#1f4d78 [1604]" strokeweight="1pt"/>
            </w:pict>
          </mc:Fallback>
        </mc:AlternateContent>
      </w:r>
    </w:p>
    <w:p w14:paraId="5B0E8152" w14:textId="77777777" w:rsidR="00BB7336" w:rsidRPr="00DD06EA" w:rsidRDefault="00BB7336" w:rsidP="00AE48E0">
      <w:pPr>
        <w:autoSpaceDE w:val="0"/>
        <w:autoSpaceDN w:val="0"/>
        <w:adjustRightInd w:val="0"/>
        <w:spacing w:before="120" w:after="240" w:line="276" w:lineRule="auto"/>
      </w:pPr>
      <w:r>
        <w:rPr>
          <w:noProof/>
          <w:lang w:val="en-US"/>
        </w:rPr>
        <mc:AlternateContent>
          <mc:Choice Requires="wps">
            <w:drawing>
              <wp:anchor distT="45720" distB="45720" distL="114300" distR="114300" simplePos="0" relativeHeight="251658249" behindDoc="0" locked="0" layoutInCell="1" allowOverlap="1" wp14:anchorId="3ED6BC42" wp14:editId="4F01162E">
                <wp:simplePos x="0" y="0"/>
                <wp:positionH relativeFrom="column">
                  <wp:posOffset>2295525</wp:posOffset>
                </wp:positionH>
                <wp:positionV relativeFrom="paragraph">
                  <wp:posOffset>158750</wp:posOffset>
                </wp:positionV>
                <wp:extent cx="2081530" cy="25273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252730"/>
                        </a:xfrm>
                        <a:prstGeom prst="rect">
                          <a:avLst/>
                        </a:prstGeom>
                        <a:solidFill>
                          <a:srgbClr val="FFFFFF"/>
                        </a:solidFill>
                        <a:ln w="9525">
                          <a:noFill/>
                          <a:miter lim="800000"/>
                          <a:headEnd/>
                          <a:tailEnd/>
                        </a:ln>
                      </wps:spPr>
                      <wps:txbx>
                        <w:txbxContent>
                          <w:p w14:paraId="0A901D2C" w14:textId="77777777" w:rsidR="00B465A6" w:rsidRDefault="00B465A6" w:rsidP="00BB7336">
                            <w:r w:rsidRPr="008676E8">
                              <w:rPr>
                                <w:b/>
                              </w:rPr>
                              <w:t>F</w:t>
                            </w:r>
                            <w:r>
                              <w:t>: Pr(flooding) = [0.2,0.3]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D6BC42" id="_x0000_t202" coordsize="21600,21600" o:spt="202" path="m,l,21600r21600,l21600,xe">
                <v:stroke joinstyle="miter"/>
                <v:path gradientshapeok="t" o:connecttype="rect"/>
              </v:shapetype>
              <v:shape id="Text Box 2" o:spid="_x0000_s1026" type="#_x0000_t202" style="position:absolute;margin-left:180.75pt;margin-top:12.5pt;width:163.9pt;height:19.9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" stroked="f">
                <v:textbox>
                  <w:txbxContent>
                    <w:p w14:paraId="0A901D2C" w14:textId="77777777" w:rsidR="00B465A6" w:rsidRDefault="00B465A6" w:rsidP="00BB7336">
                      <w:r w:rsidRPr="008676E8">
                        <w:rPr>
                          <w:b/>
                        </w:rPr>
                        <w:t>F</w:t>
                      </w:r>
                      <w:r>
                        <w:t>: Pr(flooding) = [0.2,0.3]</w:t>
                      </w:r>
                    </w:p>
                  </w:txbxContent>
                </v:textbox>
                <w10:wrap type="square"/>
              </v:shape>
            </w:pict>
          </mc:Fallback>
        </mc:AlternateContent>
      </w:r>
    </w:p>
    <w:p w14:paraId="56841CA6" w14:textId="77777777" w:rsidR="00BB7336" w:rsidRPr="00DD06EA" w:rsidRDefault="00BB7336" w:rsidP="00AE48E0">
      <w:pPr>
        <w:autoSpaceDE w:val="0"/>
        <w:autoSpaceDN w:val="0"/>
        <w:adjustRightInd w:val="0"/>
        <w:spacing w:before="120" w:after="240" w:line="276" w:lineRule="auto"/>
      </w:pPr>
      <w:r>
        <w:rPr>
          <w:noProof/>
          <w:lang w:val="en-US"/>
        </w:rPr>
        <mc:AlternateContent>
          <mc:Choice Requires="wps">
            <w:drawing>
              <wp:anchor distT="0" distB="0" distL="114300" distR="114300" simplePos="0" relativeHeight="251658246" behindDoc="0" locked="0" layoutInCell="1" allowOverlap="1" wp14:anchorId="77BCB341" wp14:editId="1B5C2BE9">
                <wp:simplePos x="0" y="0"/>
                <wp:positionH relativeFrom="column">
                  <wp:posOffset>1052830</wp:posOffset>
                </wp:positionH>
                <wp:positionV relativeFrom="paragraph">
                  <wp:posOffset>316230</wp:posOffset>
                </wp:positionV>
                <wp:extent cx="2414905" cy="2974092"/>
                <wp:effectExtent l="95250" t="0" r="99695" b="0"/>
                <wp:wrapNone/>
                <wp:docPr id="26" name="Oval 26"/>
                <wp:cNvGraphicFramePr/>
                <a:graphic xmlns:a="http://schemas.openxmlformats.org/drawingml/2006/main">
                  <a:graphicData uri="http://schemas.microsoft.com/office/word/2010/wordprocessingShape">
                    <wps:wsp>
                      <wps:cNvSpPr/>
                      <wps:spPr>
                        <a:xfrm rot="19683948">
                          <a:off x="0" y="0"/>
                          <a:ext cx="2414905" cy="2974092"/>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4540C8" id="Oval 26" o:spid="_x0000_s1026" style="position:absolute;margin-left:82.9pt;margin-top:24.9pt;width:190.15pt;height:234.2pt;rotation:-2092840fd;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" filled="f" strokecolor="red" strokeweight="1pt">
                <v:stroke dashstyle="1 1" joinstyle="miter"/>
              </v:oval>
            </w:pict>
          </mc:Fallback>
        </mc:AlternateContent>
      </w:r>
    </w:p>
    <w:p w14:paraId="254C01CB" w14:textId="77777777" w:rsidR="00BB7336" w:rsidRPr="00DD06EA" w:rsidRDefault="00BB7336" w:rsidP="00AE48E0">
      <w:pPr>
        <w:autoSpaceDE w:val="0"/>
        <w:autoSpaceDN w:val="0"/>
        <w:adjustRightInd w:val="0"/>
        <w:spacing w:before="120" w:after="240" w:line="276" w:lineRule="auto"/>
      </w:pPr>
    </w:p>
    <w:p w14:paraId="6FED9B64" w14:textId="0D885ED2" w:rsidR="00BB7336" w:rsidRPr="00DD06EA" w:rsidRDefault="008D4470" w:rsidP="00AE48E0">
      <w:pPr>
        <w:autoSpaceDE w:val="0"/>
        <w:autoSpaceDN w:val="0"/>
        <w:adjustRightInd w:val="0"/>
        <w:spacing w:before="120" w:after="240" w:line="276" w:lineRule="auto"/>
      </w:pPr>
      <w:r>
        <w:rPr>
          <w:noProof/>
          <w:lang w:val="en-US"/>
        </w:rPr>
        <mc:AlternateContent>
          <mc:Choice Requires="wps">
            <w:drawing>
              <wp:anchor distT="45720" distB="45720" distL="114300" distR="114300" simplePos="0" relativeHeight="251658251" behindDoc="0" locked="0" layoutInCell="1" allowOverlap="1" wp14:anchorId="3450664A" wp14:editId="3ED82A32">
                <wp:simplePos x="0" y="0"/>
                <wp:positionH relativeFrom="column">
                  <wp:posOffset>1527066</wp:posOffset>
                </wp:positionH>
                <wp:positionV relativeFrom="paragraph">
                  <wp:posOffset>241300</wp:posOffset>
                </wp:positionV>
                <wp:extent cx="1454785" cy="262255"/>
                <wp:effectExtent l="0" t="0" r="0" b="444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262255"/>
                        </a:xfrm>
                        <a:prstGeom prst="rect">
                          <a:avLst/>
                        </a:prstGeom>
                        <a:solidFill>
                          <a:srgbClr val="FFFFFF"/>
                        </a:solidFill>
                        <a:ln w="9525">
                          <a:noFill/>
                          <a:miter lim="800000"/>
                          <a:headEnd/>
                          <a:tailEnd/>
                        </a:ln>
                      </wps:spPr>
                      <wps:txbx>
                        <w:txbxContent>
                          <w:p w14:paraId="204B9621" w14:textId="77777777" w:rsidR="00B465A6" w:rsidRDefault="00B465A6" w:rsidP="00BB7336">
                            <w:pPr>
                              <w:jc w:val="center"/>
                            </w:pPr>
                            <w:r w:rsidRPr="00A83082">
                              <w:rPr>
                                <w:b/>
                              </w:rPr>
                              <w:t>E</w:t>
                            </w:r>
                            <w:r>
                              <w:t>: Pr(flooding) = 0.25</w:t>
                            </w:r>
                          </w:p>
                          <w:p w14:paraId="0ECB3A65" w14:textId="77777777" w:rsidR="00B465A6" w:rsidRDefault="00B465A6" w:rsidP="00BB73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0664A" id="_x0000_s1027" type="#_x0000_t202" style="position:absolute;margin-left:120.25pt;margin-top:19pt;width:114.55pt;height:20.6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" stroked="f">
                <v:textbox>
                  <w:txbxContent>
                    <w:p w14:paraId="204B9621" w14:textId="77777777" w:rsidR="00B465A6" w:rsidRDefault="00B465A6" w:rsidP="00BB7336">
                      <w:pPr>
                        <w:jc w:val="center"/>
                      </w:pPr>
                      <w:r w:rsidRPr="00A83082">
                        <w:rPr>
                          <w:b/>
                        </w:rPr>
                        <w:t>E</w:t>
                      </w:r>
                      <w:r>
                        <w:t>: Pr(flooding) = 0.25</w:t>
                      </w:r>
                    </w:p>
                    <w:p w14:paraId="0ECB3A65" w14:textId="77777777" w:rsidR="00B465A6" w:rsidRDefault="00B465A6" w:rsidP="00BB7336"/>
                  </w:txbxContent>
                </v:textbox>
                <w10:wrap type="square"/>
              </v:shape>
            </w:pict>
          </mc:Fallback>
        </mc:AlternateContent>
      </w:r>
    </w:p>
    <w:p w14:paraId="096F3295" w14:textId="539EC8C0" w:rsidR="00BB7336" w:rsidRPr="00DD06EA" w:rsidRDefault="00BB7336" w:rsidP="00AE48E0">
      <w:pPr>
        <w:autoSpaceDE w:val="0"/>
        <w:autoSpaceDN w:val="0"/>
        <w:adjustRightInd w:val="0"/>
        <w:spacing w:before="120" w:after="240" w:line="276" w:lineRule="auto"/>
      </w:pPr>
      <w:r>
        <w:rPr>
          <w:noProof/>
          <w:lang w:val="en-US"/>
        </w:rPr>
        <mc:AlternateContent>
          <mc:Choice Requires="wps">
            <w:drawing>
              <wp:anchor distT="0" distB="0" distL="114300" distR="114300" simplePos="0" relativeHeight="251658248" behindDoc="0" locked="0" layoutInCell="1" allowOverlap="1" wp14:anchorId="080B7AD7" wp14:editId="3B74478C">
                <wp:simplePos x="0" y="0"/>
                <wp:positionH relativeFrom="column">
                  <wp:posOffset>2013625</wp:posOffset>
                </wp:positionH>
                <wp:positionV relativeFrom="paragraph">
                  <wp:posOffset>144888</wp:posOffset>
                </wp:positionV>
                <wp:extent cx="640715" cy="1637194"/>
                <wp:effectExtent l="152400" t="0" r="159385" b="0"/>
                <wp:wrapNone/>
                <wp:docPr id="24" name="Oval 24"/>
                <wp:cNvGraphicFramePr/>
                <a:graphic xmlns:a="http://schemas.openxmlformats.org/drawingml/2006/main">
                  <a:graphicData uri="http://schemas.microsoft.com/office/word/2010/wordprocessingShape">
                    <wps:wsp>
                      <wps:cNvSpPr/>
                      <wps:spPr>
                        <a:xfrm rot="12370381">
                          <a:off x="0" y="0"/>
                          <a:ext cx="640715" cy="1637194"/>
                        </a:xfrm>
                        <a:prstGeom prst="ellipse">
                          <a:avLst/>
                        </a:prstGeom>
                        <a:solidFill>
                          <a:srgbClr val="FFFFFF"/>
                        </a:solid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5DB050" id="Oval 24" o:spid="_x0000_s1026" style="position:absolute;margin-left:158.55pt;margin-top:11.4pt;width:50.45pt;height:128.9pt;rotation:-10081205fd;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" strokecolor="red" strokeweight="1pt">
                <v:stroke dashstyle="1 1" joinstyle="miter"/>
              </v:oval>
            </w:pict>
          </mc:Fallback>
        </mc:AlternateContent>
      </w:r>
    </w:p>
    <w:p w14:paraId="09F43D4C" w14:textId="77777777" w:rsidR="00BB7336" w:rsidRPr="00DD06EA" w:rsidRDefault="00BB7336" w:rsidP="00AE48E0">
      <w:pPr>
        <w:autoSpaceDE w:val="0"/>
        <w:autoSpaceDN w:val="0"/>
        <w:adjustRightInd w:val="0"/>
        <w:spacing w:before="120" w:after="240" w:line="276" w:lineRule="auto"/>
      </w:pPr>
    </w:p>
    <w:p w14:paraId="79E044CD" w14:textId="77777777" w:rsidR="00BB7336" w:rsidRPr="00DD06EA" w:rsidRDefault="00BB7336" w:rsidP="00AE48E0">
      <w:pPr>
        <w:autoSpaceDE w:val="0"/>
        <w:autoSpaceDN w:val="0"/>
        <w:adjustRightInd w:val="0"/>
        <w:spacing w:before="120" w:after="240" w:line="276" w:lineRule="auto"/>
      </w:pPr>
    </w:p>
    <w:p w14:paraId="2BBC7585" w14:textId="77777777" w:rsidR="00BB7336" w:rsidRPr="00DD06EA" w:rsidRDefault="00BB7336" w:rsidP="00AE48E0">
      <w:pPr>
        <w:autoSpaceDE w:val="0"/>
        <w:autoSpaceDN w:val="0"/>
        <w:adjustRightInd w:val="0"/>
        <w:spacing w:before="120" w:after="240" w:line="276" w:lineRule="auto"/>
      </w:pPr>
    </w:p>
    <w:p w14:paraId="77F52B55" w14:textId="77777777" w:rsidR="00BB7336" w:rsidRPr="00DD06EA" w:rsidRDefault="00BB7336" w:rsidP="00AE48E0">
      <w:pPr>
        <w:autoSpaceDE w:val="0"/>
        <w:autoSpaceDN w:val="0"/>
        <w:adjustRightInd w:val="0"/>
        <w:spacing w:before="120" w:after="240" w:line="276" w:lineRule="auto"/>
      </w:pPr>
    </w:p>
    <w:p w14:paraId="138C48AE" w14:textId="77777777" w:rsidR="00BB7336" w:rsidRPr="00DD06EA" w:rsidRDefault="00BB7336" w:rsidP="00AE48E0">
      <w:pPr>
        <w:autoSpaceDE w:val="0"/>
        <w:autoSpaceDN w:val="0"/>
        <w:adjustRightInd w:val="0"/>
        <w:spacing w:before="120" w:after="240" w:line="276" w:lineRule="auto"/>
      </w:pPr>
    </w:p>
    <w:p w14:paraId="07CCE4CD" w14:textId="77777777" w:rsidR="00BB7336" w:rsidRPr="00DD06EA" w:rsidRDefault="00BB7336" w:rsidP="00AE48E0">
      <w:pPr>
        <w:autoSpaceDE w:val="0"/>
        <w:autoSpaceDN w:val="0"/>
        <w:adjustRightInd w:val="0"/>
        <w:spacing w:before="120" w:after="240" w:line="276" w:lineRule="auto"/>
      </w:pPr>
    </w:p>
    <w:p w14:paraId="5A7238AE" w14:textId="3DD79B1A" w:rsidR="00BB7336" w:rsidRDefault="00BB7336" w:rsidP="00AE48E0">
      <w:pPr>
        <w:autoSpaceDE w:val="0"/>
        <w:autoSpaceDN w:val="0"/>
        <w:adjustRightInd w:val="0"/>
        <w:spacing w:before="120" w:after="240" w:line="276" w:lineRule="auto"/>
      </w:pPr>
    </w:p>
    <w:p w14:paraId="1365FF9A" w14:textId="4B0B718A" w:rsidR="00817682" w:rsidRDefault="00817682" w:rsidP="00AE48E0">
      <w:pPr>
        <w:autoSpaceDE w:val="0"/>
        <w:autoSpaceDN w:val="0"/>
        <w:adjustRightInd w:val="0"/>
        <w:spacing w:before="120" w:after="240" w:line="276" w:lineRule="auto"/>
      </w:pPr>
    </w:p>
    <w:p w14:paraId="110F96A0" w14:textId="1E122349" w:rsidR="00817682" w:rsidRDefault="00817682" w:rsidP="00AE48E0">
      <w:pPr>
        <w:autoSpaceDE w:val="0"/>
        <w:autoSpaceDN w:val="0"/>
        <w:adjustRightInd w:val="0"/>
        <w:spacing w:before="120" w:after="240" w:line="276" w:lineRule="auto"/>
      </w:pPr>
    </w:p>
    <w:p w14:paraId="38E072F9" w14:textId="15A790ED" w:rsidR="00817682" w:rsidRDefault="00817682" w:rsidP="00AE48E0">
      <w:pPr>
        <w:autoSpaceDE w:val="0"/>
        <w:autoSpaceDN w:val="0"/>
        <w:adjustRightInd w:val="0"/>
        <w:spacing w:before="120" w:after="240" w:line="276" w:lineRule="auto"/>
      </w:pPr>
    </w:p>
    <w:p w14:paraId="586F9F1A" w14:textId="490C4C63" w:rsidR="00817682" w:rsidRDefault="00817682">
      <w:r>
        <w:br w:type="page"/>
      </w:r>
    </w:p>
    <w:p w14:paraId="5E4CAE7A" w14:textId="44ABFA07" w:rsidR="00BB7336" w:rsidRPr="00DD06EA" w:rsidRDefault="00AC6AC3" w:rsidP="007F093B">
      <w:pPr>
        <w:spacing w:line="276" w:lineRule="auto"/>
      </w:pPr>
      <w:r w:rsidRPr="00DD06EA">
        <w:lastRenderedPageBreak/>
        <w:t>Figure II</w:t>
      </w:r>
      <w:r w:rsidR="00DD06EA" w:rsidRPr="00DD06EA">
        <w:t>:</w:t>
      </w:r>
      <w:r w:rsidR="00DD06EA">
        <w:t xml:space="preserve"> </w:t>
      </w:r>
      <w:r w:rsidR="00547913">
        <w:t>Confidence Grading of Claims</w:t>
      </w:r>
    </w:p>
    <w:p w14:paraId="3ECE66EC" w14:textId="0D224F59" w:rsidR="00BB7336" w:rsidRPr="00DD06EA" w:rsidRDefault="002F7A4E" w:rsidP="00AE48E0">
      <w:pPr>
        <w:autoSpaceDE w:val="0"/>
        <w:autoSpaceDN w:val="0"/>
        <w:adjustRightInd w:val="0"/>
        <w:spacing w:before="120" w:after="240" w:line="276" w:lineRule="auto"/>
      </w:pPr>
      <w:r>
        <w:rPr>
          <w:noProof/>
          <w:lang w:val="en-US"/>
        </w:rPr>
        <mc:AlternateContent>
          <mc:Choice Requires="wps">
            <w:drawing>
              <wp:anchor distT="0" distB="0" distL="114300" distR="114300" simplePos="0" relativeHeight="251658257" behindDoc="0" locked="0" layoutInCell="1" allowOverlap="1" wp14:anchorId="6F28DA27" wp14:editId="2CEC7013">
                <wp:simplePos x="0" y="0"/>
                <wp:positionH relativeFrom="column">
                  <wp:posOffset>-28575</wp:posOffset>
                </wp:positionH>
                <wp:positionV relativeFrom="paragraph">
                  <wp:posOffset>299918</wp:posOffset>
                </wp:positionV>
                <wp:extent cx="5009515" cy="4037767"/>
                <wp:effectExtent l="0" t="0" r="19685" b="20320"/>
                <wp:wrapNone/>
                <wp:docPr id="22" name="Rectangle 22"/>
                <wp:cNvGraphicFramePr/>
                <a:graphic xmlns:a="http://schemas.openxmlformats.org/drawingml/2006/main">
                  <a:graphicData uri="http://schemas.microsoft.com/office/word/2010/wordprocessingShape">
                    <wps:wsp>
                      <wps:cNvSpPr/>
                      <wps:spPr>
                        <a:xfrm>
                          <a:off x="0" y="0"/>
                          <a:ext cx="5009515" cy="40377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B9126" id="Rectangle 22" o:spid="_x0000_s1026" style="position:absolute;margin-left:-2.25pt;margin-top:23.6pt;width:394.45pt;height:317.9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" filled="f" strokecolor="#1f4d78 [1604]" strokeweight="1pt"/>
            </w:pict>
          </mc:Fallback>
        </mc:AlternateContent>
      </w:r>
    </w:p>
    <w:p w14:paraId="0F4F3518" w14:textId="31195CC7" w:rsidR="00BB7336" w:rsidRPr="00DD06EA" w:rsidRDefault="00EC18A5" w:rsidP="00AE48E0">
      <w:pPr>
        <w:autoSpaceDE w:val="0"/>
        <w:autoSpaceDN w:val="0"/>
        <w:adjustRightInd w:val="0"/>
        <w:spacing w:before="120" w:after="240" w:line="276" w:lineRule="auto"/>
      </w:pPr>
      <w:r>
        <w:rPr>
          <w:noProof/>
          <w:lang w:val="en-US"/>
        </w:rPr>
        <mc:AlternateContent>
          <mc:Choice Requires="wps">
            <w:drawing>
              <wp:anchor distT="45720" distB="45720" distL="114300" distR="114300" simplePos="0" relativeHeight="251658258" behindDoc="0" locked="0" layoutInCell="1" allowOverlap="1" wp14:anchorId="76E99D99" wp14:editId="078F3052">
                <wp:simplePos x="0" y="0"/>
                <wp:positionH relativeFrom="column">
                  <wp:posOffset>1748264</wp:posOffset>
                </wp:positionH>
                <wp:positionV relativeFrom="paragraph">
                  <wp:posOffset>125095</wp:posOffset>
                </wp:positionV>
                <wp:extent cx="242570" cy="295275"/>
                <wp:effectExtent l="0" t="0" r="5080" b="952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295275"/>
                        </a:xfrm>
                        <a:prstGeom prst="rect">
                          <a:avLst/>
                        </a:prstGeom>
                        <a:solidFill>
                          <a:srgbClr val="FFFFFF"/>
                        </a:solidFill>
                        <a:ln w="9525">
                          <a:noFill/>
                          <a:miter lim="800000"/>
                          <a:headEnd/>
                          <a:tailEnd/>
                        </a:ln>
                      </wps:spPr>
                      <wps:txbx>
                        <w:txbxContent>
                          <w:p w14:paraId="0575D2DB" w14:textId="77777777" w:rsidR="00B465A6" w:rsidRPr="000621AA" w:rsidRDefault="00B465A6" w:rsidP="00BB7336">
                            <w:pPr>
                              <w:rPr>
                                <w:b/>
                              </w:rPr>
                            </w:pPr>
                            <w:r>
                              <w:rPr>
                                <w:b/>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99D99" id="_x0000_s1028" type="#_x0000_t202" style="position:absolute;margin-left:137.65pt;margin-top:9.85pt;width:19.1pt;height:23.2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" stroked="f">
                <v:textbox>
                  <w:txbxContent>
                    <w:p w14:paraId="0575D2DB" w14:textId="77777777" w:rsidR="00B465A6" w:rsidRPr="000621AA" w:rsidRDefault="00B465A6" w:rsidP="00BB7336">
                      <w:pPr>
                        <w:rPr>
                          <w:b/>
                        </w:rPr>
                      </w:pPr>
                      <w:r>
                        <w:rPr>
                          <w:b/>
                        </w:rPr>
                        <w:t>F</w:t>
                      </w:r>
                    </w:p>
                  </w:txbxContent>
                </v:textbox>
                <w10:wrap type="square"/>
              </v:shape>
            </w:pict>
          </mc:Fallback>
        </mc:AlternateContent>
      </w:r>
    </w:p>
    <w:p w14:paraId="6CB48686" w14:textId="61B98D19" w:rsidR="00BB7336" w:rsidRPr="00DD06EA" w:rsidRDefault="00EC18A5" w:rsidP="00AE48E0">
      <w:pPr>
        <w:autoSpaceDE w:val="0"/>
        <w:autoSpaceDN w:val="0"/>
        <w:adjustRightInd w:val="0"/>
        <w:spacing w:before="120" w:after="240" w:line="276" w:lineRule="auto"/>
      </w:pPr>
      <w:r>
        <w:rPr>
          <w:noProof/>
          <w:lang w:val="en-US"/>
        </w:rPr>
        <mc:AlternateContent>
          <mc:Choice Requires="wps">
            <w:drawing>
              <wp:anchor distT="0" distB="0" distL="114300" distR="114300" simplePos="0" relativeHeight="251658255" behindDoc="0" locked="0" layoutInCell="1" allowOverlap="1" wp14:anchorId="440382A1" wp14:editId="4E04ED5F">
                <wp:simplePos x="0" y="0"/>
                <wp:positionH relativeFrom="column">
                  <wp:posOffset>1285875</wp:posOffset>
                </wp:positionH>
                <wp:positionV relativeFrom="paragraph">
                  <wp:posOffset>67309</wp:posOffset>
                </wp:positionV>
                <wp:extent cx="2708187" cy="3306570"/>
                <wp:effectExtent l="114300" t="0" r="111760" b="0"/>
                <wp:wrapNone/>
                <wp:docPr id="15" name="Oval 15"/>
                <wp:cNvGraphicFramePr/>
                <a:graphic xmlns:a="http://schemas.openxmlformats.org/drawingml/2006/main">
                  <a:graphicData uri="http://schemas.microsoft.com/office/word/2010/wordprocessingShape">
                    <wps:wsp>
                      <wps:cNvSpPr/>
                      <wps:spPr>
                        <a:xfrm rot="19683948">
                          <a:off x="0" y="0"/>
                          <a:ext cx="2708187" cy="3306570"/>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00E832" id="Oval 15" o:spid="_x0000_s1026" style="position:absolute;margin-left:101.25pt;margin-top:5.3pt;width:213.25pt;height:260.35pt;rotation:-2092840fd;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" filled="f" strokecolor="red" strokeweight="1pt">
                <v:stroke dashstyle="1 1" joinstyle="miter"/>
              </v:oval>
            </w:pict>
          </mc:Fallback>
        </mc:AlternateContent>
      </w:r>
    </w:p>
    <w:p w14:paraId="6499B458" w14:textId="5DD420B3" w:rsidR="00BB7336" w:rsidRPr="00DD06EA" w:rsidRDefault="00C3193C" w:rsidP="00AE48E0">
      <w:pPr>
        <w:autoSpaceDE w:val="0"/>
        <w:autoSpaceDN w:val="0"/>
        <w:adjustRightInd w:val="0"/>
        <w:spacing w:before="120" w:after="240" w:line="276" w:lineRule="auto"/>
      </w:pPr>
      <w:r>
        <w:rPr>
          <w:noProof/>
          <w:lang w:val="en-US"/>
        </w:rPr>
        <mc:AlternateContent>
          <mc:Choice Requires="wps">
            <w:drawing>
              <wp:anchor distT="0" distB="0" distL="114300" distR="114300" simplePos="0" relativeHeight="251658252" behindDoc="0" locked="0" layoutInCell="1" allowOverlap="1" wp14:anchorId="0A9F46C5" wp14:editId="55E46BDE">
                <wp:simplePos x="0" y="0"/>
                <wp:positionH relativeFrom="column">
                  <wp:posOffset>764540</wp:posOffset>
                </wp:positionH>
                <wp:positionV relativeFrom="paragraph">
                  <wp:posOffset>272415</wp:posOffset>
                </wp:positionV>
                <wp:extent cx="3764172" cy="2490281"/>
                <wp:effectExtent l="0" t="0" r="27305" b="24765"/>
                <wp:wrapNone/>
                <wp:docPr id="3" name="Oval 3"/>
                <wp:cNvGraphicFramePr/>
                <a:graphic xmlns:a="http://schemas.openxmlformats.org/drawingml/2006/main">
                  <a:graphicData uri="http://schemas.microsoft.com/office/word/2010/wordprocessingShape">
                    <wps:wsp>
                      <wps:cNvSpPr/>
                      <wps:spPr>
                        <a:xfrm>
                          <a:off x="0" y="0"/>
                          <a:ext cx="3764172" cy="2490281"/>
                        </a:xfrm>
                        <a:prstGeom prst="ellipse">
                          <a:avLst/>
                        </a:prstGeom>
                        <a:gradFill flip="none" rotWithShape="1">
                          <a:gsLst>
                            <a:gs pos="0">
                              <a:schemeClr val="accent1">
                                <a:tint val="66000"/>
                                <a:satMod val="160000"/>
                              </a:schemeClr>
                            </a:gs>
                            <a:gs pos="50000">
                              <a:schemeClr val="accent1">
                                <a:tint val="44500"/>
                                <a:satMod val="160000"/>
                                <a:alpha val="10000"/>
                              </a:schemeClr>
                            </a:gs>
                            <a:gs pos="100000">
                              <a:schemeClr val="accent1">
                                <a:tint val="23500"/>
                                <a:satMod val="160000"/>
                              </a:schemeClr>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411FA47" id="Oval 3" o:spid="_x0000_s1026" style="position:absolute;margin-left:60.2pt;margin-top:21.45pt;width:296.4pt;height:196.1pt;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" fillcolor="#92bce3 [2132]" strokecolor="#1f4d78 [1604]" strokeweight="1pt">
                <v:fill color2="#d9e8f5 [756]" rotate="t" angle="45" colors="0 #9ac3f6;.5 #c1d8f8;1 #e1ecfb" focus="100%" type="gradient"/>
                <v:stroke joinstyle="miter"/>
              </v:oval>
            </w:pict>
          </mc:Fallback>
        </mc:AlternateContent>
      </w:r>
    </w:p>
    <w:p w14:paraId="77A882EF" w14:textId="66BBF82B" w:rsidR="00BB7336" w:rsidRPr="00DD06EA" w:rsidRDefault="00EC18A5" w:rsidP="00AE48E0">
      <w:pPr>
        <w:autoSpaceDE w:val="0"/>
        <w:autoSpaceDN w:val="0"/>
        <w:adjustRightInd w:val="0"/>
        <w:spacing w:before="120" w:after="240" w:line="276" w:lineRule="auto"/>
      </w:pPr>
      <w:r>
        <w:rPr>
          <w:noProof/>
          <w:lang w:val="en-US"/>
        </w:rPr>
        <mc:AlternateContent>
          <mc:Choice Requires="wps">
            <w:drawing>
              <wp:anchor distT="45720" distB="45720" distL="114300" distR="114300" simplePos="0" relativeHeight="251658259" behindDoc="0" locked="0" layoutInCell="1" allowOverlap="1" wp14:anchorId="652147F8" wp14:editId="1A38E9FA">
                <wp:simplePos x="0" y="0"/>
                <wp:positionH relativeFrom="column">
                  <wp:posOffset>2657475</wp:posOffset>
                </wp:positionH>
                <wp:positionV relativeFrom="paragraph">
                  <wp:posOffset>347116</wp:posOffset>
                </wp:positionV>
                <wp:extent cx="242570" cy="242570"/>
                <wp:effectExtent l="0" t="0" r="5080" b="508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242570"/>
                        </a:xfrm>
                        <a:prstGeom prst="rect">
                          <a:avLst/>
                        </a:prstGeom>
                        <a:solidFill>
                          <a:srgbClr val="FFFFFF"/>
                        </a:solidFill>
                        <a:ln w="9525">
                          <a:noFill/>
                          <a:miter lim="800000"/>
                          <a:headEnd/>
                          <a:tailEnd/>
                        </a:ln>
                      </wps:spPr>
                      <wps:txbx>
                        <w:txbxContent>
                          <w:p w14:paraId="0A1ADE22" w14:textId="77777777" w:rsidR="00B465A6" w:rsidRPr="000621AA" w:rsidRDefault="00B465A6" w:rsidP="00BB7336">
                            <w:pPr>
                              <w:rPr>
                                <w:b/>
                              </w:rPr>
                            </w:pPr>
                            <w:r>
                              <w:rPr>
                                <w:b/>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147F8" id="_x0000_s1029" type="#_x0000_t202" style="position:absolute;margin-left:209.25pt;margin-top:27.35pt;width:19.1pt;height:19.1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" stroked="f">
                <v:textbox>
                  <w:txbxContent>
                    <w:p w14:paraId="0A1ADE22" w14:textId="77777777" w:rsidR="00B465A6" w:rsidRPr="000621AA" w:rsidRDefault="00B465A6" w:rsidP="00BB7336">
                      <w:pPr>
                        <w:rPr>
                          <w:b/>
                        </w:rPr>
                      </w:pPr>
                      <w:r>
                        <w:rPr>
                          <w:b/>
                        </w:rPr>
                        <w:t>E</w:t>
                      </w:r>
                    </w:p>
                  </w:txbxContent>
                </v:textbox>
                <w10:wrap type="square"/>
              </v:shape>
            </w:pict>
          </mc:Fallback>
        </mc:AlternateContent>
      </w:r>
      <w:r w:rsidR="00BB7336">
        <w:rPr>
          <w:noProof/>
          <w:lang w:val="en-US"/>
        </w:rPr>
        <mc:AlternateContent>
          <mc:Choice Requires="wps">
            <w:drawing>
              <wp:anchor distT="0" distB="0" distL="114300" distR="114300" simplePos="0" relativeHeight="251658260" behindDoc="0" locked="0" layoutInCell="1" allowOverlap="1" wp14:anchorId="50AD0B6B" wp14:editId="0F5C01E4">
                <wp:simplePos x="0" y="0"/>
                <wp:positionH relativeFrom="column">
                  <wp:posOffset>5116195</wp:posOffset>
                </wp:positionH>
                <wp:positionV relativeFrom="paragraph">
                  <wp:posOffset>113030</wp:posOffset>
                </wp:positionV>
                <wp:extent cx="1244600" cy="340360"/>
                <wp:effectExtent l="0" t="0" r="12700"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340360"/>
                        </a:xfrm>
                        <a:prstGeom prst="rect">
                          <a:avLst/>
                        </a:prstGeom>
                        <a:solidFill>
                          <a:schemeClr val="accent1">
                            <a:lumMod val="75000"/>
                          </a:schemeClr>
                        </a:solidFill>
                        <a:ln w="9525">
                          <a:solidFill>
                            <a:srgbClr val="000000"/>
                          </a:solidFill>
                          <a:miter lim="800000"/>
                          <a:headEnd/>
                          <a:tailEnd/>
                        </a:ln>
                      </wps:spPr>
                      <wps:txbx>
                        <w:txbxContent>
                          <w:p w14:paraId="2E1292C4" w14:textId="77777777" w:rsidR="00B465A6" w:rsidRDefault="00B465A6" w:rsidP="00BB7336">
                            <w:r>
                              <w:t>Low Confidence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D0B6B" id="_x0000_s1030" type="#_x0000_t202" style="position:absolute;margin-left:402.85pt;margin-top:8.9pt;width:98pt;height:26.8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" fillcolor="#2e74b5 [2404]">
                <v:textbox>
                  <w:txbxContent>
                    <w:p w14:paraId="2E1292C4" w14:textId="77777777" w:rsidR="00B465A6" w:rsidRDefault="00B465A6" w:rsidP="00BB7336">
                      <w:r>
                        <w:t>Low Confidence</w:t>
                      </w:r>
                    </w:p>
                  </w:txbxContent>
                </v:textbox>
              </v:shape>
            </w:pict>
          </mc:Fallback>
        </mc:AlternateContent>
      </w:r>
    </w:p>
    <w:p w14:paraId="16B40B67" w14:textId="2BFC3470" w:rsidR="00BB7336" w:rsidRPr="00DD06EA" w:rsidRDefault="00C3193C" w:rsidP="00AE48E0">
      <w:pPr>
        <w:autoSpaceDE w:val="0"/>
        <w:autoSpaceDN w:val="0"/>
        <w:adjustRightInd w:val="0"/>
        <w:spacing w:before="120" w:after="240" w:line="276" w:lineRule="auto"/>
      </w:pPr>
      <w:r>
        <w:rPr>
          <w:noProof/>
          <w:lang w:val="en-US"/>
        </w:rPr>
        <mc:AlternateContent>
          <mc:Choice Requires="wps">
            <w:drawing>
              <wp:anchor distT="0" distB="0" distL="114300" distR="114300" simplePos="0" relativeHeight="251658256" behindDoc="0" locked="0" layoutInCell="1" allowOverlap="1" wp14:anchorId="4DDDF706" wp14:editId="7945E098">
                <wp:simplePos x="0" y="0"/>
                <wp:positionH relativeFrom="column">
                  <wp:posOffset>2294146</wp:posOffset>
                </wp:positionH>
                <wp:positionV relativeFrom="paragraph">
                  <wp:posOffset>271146</wp:posOffset>
                </wp:positionV>
                <wp:extent cx="640715" cy="1637194"/>
                <wp:effectExtent l="152400" t="0" r="159385" b="0"/>
                <wp:wrapNone/>
                <wp:docPr id="16" name="Oval 16"/>
                <wp:cNvGraphicFramePr/>
                <a:graphic xmlns:a="http://schemas.openxmlformats.org/drawingml/2006/main">
                  <a:graphicData uri="http://schemas.microsoft.com/office/word/2010/wordprocessingShape">
                    <wps:wsp>
                      <wps:cNvSpPr/>
                      <wps:spPr>
                        <a:xfrm rot="12370381">
                          <a:off x="0" y="0"/>
                          <a:ext cx="640715" cy="1637194"/>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B93960" id="Oval 16" o:spid="_x0000_s1026" style="position:absolute;margin-left:180.65pt;margin-top:21.35pt;width:50.45pt;height:128.9pt;rotation:-10081205fd;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" filled="f" strokecolor="red" strokeweight="1pt">
                <v:stroke dashstyle="1 1" joinstyle="miter"/>
              </v:oval>
            </w:pict>
          </mc:Fallback>
        </mc:AlternateContent>
      </w:r>
    </w:p>
    <w:p w14:paraId="14263C92" w14:textId="3EB37ECC" w:rsidR="00BB7336" w:rsidRPr="00DD06EA" w:rsidRDefault="00575DE3" w:rsidP="00AE48E0">
      <w:pPr>
        <w:autoSpaceDE w:val="0"/>
        <w:autoSpaceDN w:val="0"/>
        <w:adjustRightInd w:val="0"/>
        <w:spacing w:before="120" w:after="240" w:line="276" w:lineRule="auto"/>
      </w:pPr>
      <w:r>
        <w:rPr>
          <w:noProof/>
          <w:lang w:val="en-US"/>
        </w:rPr>
        <mc:AlternateContent>
          <mc:Choice Requires="wps">
            <w:drawing>
              <wp:anchor distT="0" distB="0" distL="114300" distR="114300" simplePos="0" relativeHeight="251658261" behindDoc="0" locked="0" layoutInCell="1" allowOverlap="1" wp14:anchorId="5C9B3E80" wp14:editId="649D2902">
                <wp:simplePos x="0" y="0"/>
                <wp:positionH relativeFrom="column">
                  <wp:posOffset>5106707</wp:posOffset>
                </wp:positionH>
                <wp:positionV relativeFrom="paragraph">
                  <wp:posOffset>116392</wp:posOffset>
                </wp:positionV>
                <wp:extent cx="1361440" cy="310515"/>
                <wp:effectExtent l="0" t="0" r="10160" b="13335"/>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310515"/>
                        </a:xfrm>
                        <a:prstGeom prst="rect">
                          <a:avLst/>
                        </a:prstGeom>
                        <a:solidFill>
                          <a:schemeClr val="accent1">
                            <a:lumMod val="60000"/>
                            <a:lumOff val="40000"/>
                          </a:schemeClr>
                        </a:solidFill>
                        <a:ln w="9525">
                          <a:solidFill>
                            <a:srgbClr val="000000"/>
                          </a:solidFill>
                          <a:miter lim="800000"/>
                          <a:headEnd/>
                          <a:tailEnd/>
                        </a:ln>
                      </wps:spPr>
                      <wps:txbx>
                        <w:txbxContent>
                          <w:p w14:paraId="7E222865" w14:textId="77777777" w:rsidR="00B465A6" w:rsidRDefault="00B465A6" w:rsidP="00BB7336">
                            <w:r>
                              <w:t>Medium Confidence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B3E80" id="_x0000_s1031" type="#_x0000_t202" style="position:absolute;margin-left:402.1pt;margin-top:9.15pt;width:107.2pt;height:24.4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" fillcolor="#9cc2e5 [1940]">
                <v:textbox>
                  <w:txbxContent>
                    <w:p w14:paraId="7E222865" w14:textId="77777777" w:rsidR="00B465A6" w:rsidRDefault="00B465A6" w:rsidP="00BB7336">
                      <w:r>
                        <w:t>Medium Confidence</w:t>
                      </w:r>
                    </w:p>
                  </w:txbxContent>
                </v:textbox>
              </v:shape>
            </w:pict>
          </mc:Fallback>
        </mc:AlternateContent>
      </w:r>
      <w:r w:rsidR="00C3193C">
        <w:rPr>
          <w:noProof/>
          <w:lang w:val="en-US"/>
        </w:rPr>
        <mc:AlternateContent>
          <mc:Choice Requires="wps">
            <w:drawing>
              <wp:anchor distT="0" distB="0" distL="114300" distR="114300" simplePos="0" relativeHeight="251658254" behindDoc="0" locked="0" layoutInCell="1" allowOverlap="1" wp14:anchorId="46399476" wp14:editId="6DFAFC8A">
                <wp:simplePos x="0" y="0"/>
                <wp:positionH relativeFrom="column">
                  <wp:posOffset>1464310</wp:posOffset>
                </wp:positionH>
                <wp:positionV relativeFrom="paragraph">
                  <wp:posOffset>123825</wp:posOffset>
                </wp:positionV>
                <wp:extent cx="2422187" cy="1070043"/>
                <wp:effectExtent l="0" t="0" r="16510" b="15875"/>
                <wp:wrapNone/>
                <wp:docPr id="4" name="Oval 4"/>
                <wp:cNvGraphicFramePr/>
                <a:graphic xmlns:a="http://schemas.openxmlformats.org/drawingml/2006/main">
                  <a:graphicData uri="http://schemas.microsoft.com/office/word/2010/wordprocessingShape">
                    <wps:wsp>
                      <wps:cNvSpPr/>
                      <wps:spPr>
                        <a:xfrm>
                          <a:off x="0" y="0"/>
                          <a:ext cx="2422187" cy="1070043"/>
                        </a:xfrm>
                        <a:prstGeom prst="ellipse">
                          <a:avLst/>
                        </a:prstGeom>
                        <a:gradFill flip="none" rotWithShape="1">
                          <a:gsLst>
                            <a:gs pos="0">
                              <a:schemeClr val="accent1">
                                <a:shade val="30000"/>
                                <a:satMod val="115000"/>
                                <a:alpha val="50000"/>
                              </a:schemeClr>
                            </a:gs>
                            <a:gs pos="12000">
                              <a:schemeClr val="accent1">
                                <a:shade val="67500"/>
                                <a:satMod val="115000"/>
                                <a:alpha val="50000"/>
                              </a:schemeClr>
                            </a:gs>
                            <a:gs pos="100000">
                              <a:schemeClr val="accent1">
                                <a:shade val="100000"/>
                                <a:satMod val="115000"/>
                              </a:schemeClr>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A814B1" id="Oval 4" o:spid="_x0000_s1026" style="position:absolute;margin-left:115.3pt;margin-top:9.75pt;width:190.7pt;height:84.25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" fillcolor="#122e47 [964]" strokecolor="#1f4d78 [1604]" strokeweight="1pt">
                <v:fill color2="#5b9bd5 [3204]" o:opacity2=".5" rotate="t" angle="45" colors="0 #2c5981;7864f #4382ba;1 #529bde" focus="100%" type="gradient"/>
                <v:stroke joinstyle="miter"/>
              </v:oval>
            </w:pict>
          </mc:Fallback>
        </mc:AlternateContent>
      </w:r>
    </w:p>
    <w:p w14:paraId="19EE71D3" w14:textId="744932DC" w:rsidR="00BB7336" w:rsidRPr="00DD06EA" w:rsidRDefault="00C3193C" w:rsidP="00AE48E0">
      <w:pPr>
        <w:autoSpaceDE w:val="0"/>
        <w:autoSpaceDN w:val="0"/>
        <w:adjustRightInd w:val="0"/>
        <w:spacing w:before="120" w:after="240" w:line="276" w:lineRule="auto"/>
      </w:pPr>
      <w:r>
        <w:rPr>
          <w:noProof/>
          <w:lang w:val="en-US"/>
        </w:rPr>
        <mc:AlternateContent>
          <mc:Choice Requires="wps">
            <w:drawing>
              <wp:anchor distT="0" distB="0" distL="114300" distR="114300" simplePos="0" relativeHeight="251658253" behindDoc="0" locked="0" layoutInCell="1" allowOverlap="1" wp14:anchorId="5E03D2EE" wp14:editId="70E60F2A">
                <wp:simplePos x="0" y="0"/>
                <wp:positionH relativeFrom="column">
                  <wp:posOffset>2545715</wp:posOffset>
                </wp:positionH>
                <wp:positionV relativeFrom="paragraph">
                  <wp:posOffset>265430</wp:posOffset>
                </wp:positionV>
                <wp:extent cx="214008" cy="165370"/>
                <wp:effectExtent l="0" t="0" r="14605" b="25400"/>
                <wp:wrapNone/>
                <wp:docPr id="5" name="Oval 5"/>
                <wp:cNvGraphicFramePr/>
                <a:graphic xmlns:a="http://schemas.openxmlformats.org/drawingml/2006/main">
                  <a:graphicData uri="http://schemas.microsoft.com/office/word/2010/wordprocessingShape">
                    <wps:wsp>
                      <wps:cNvSpPr/>
                      <wps:spPr>
                        <a:xfrm>
                          <a:off x="0" y="0"/>
                          <a:ext cx="214008" cy="165370"/>
                        </a:xfrm>
                        <a:prstGeom prst="ellipse">
                          <a:avLst/>
                        </a:prstGeom>
                        <a:solidFill>
                          <a:srgbClr val="002060"/>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02A048" id="Oval 5" o:spid="_x0000_s1026" style="position:absolute;margin-left:200.45pt;margin-top:20.9pt;width:16.85pt;height:13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" fillcolor="#002060" strokecolor="#1f3763 [1608]" strokeweight="1pt">
                <v:stroke joinstyle="miter"/>
              </v:oval>
            </w:pict>
          </mc:Fallback>
        </mc:AlternateContent>
      </w:r>
    </w:p>
    <w:p w14:paraId="6B917BC0" w14:textId="0BBA47BB" w:rsidR="00BB7336" w:rsidRPr="00DD06EA" w:rsidRDefault="00575DE3" w:rsidP="00AE48E0">
      <w:pPr>
        <w:autoSpaceDE w:val="0"/>
        <w:autoSpaceDN w:val="0"/>
        <w:adjustRightInd w:val="0"/>
        <w:spacing w:before="120" w:after="240" w:line="276" w:lineRule="auto"/>
      </w:pPr>
      <w:r>
        <w:rPr>
          <w:noProof/>
          <w:lang w:val="en-US"/>
        </w:rPr>
        <mc:AlternateContent>
          <mc:Choice Requires="wps">
            <w:drawing>
              <wp:anchor distT="0" distB="0" distL="114300" distR="114300" simplePos="0" relativeHeight="251658262" behindDoc="0" locked="0" layoutInCell="1" allowOverlap="1" wp14:anchorId="0EE5AD8F" wp14:editId="0E13E402">
                <wp:simplePos x="0" y="0"/>
                <wp:positionH relativeFrom="column">
                  <wp:posOffset>5125683</wp:posOffset>
                </wp:positionH>
                <wp:positionV relativeFrom="paragraph">
                  <wp:posOffset>57076</wp:posOffset>
                </wp:positionV>
                <wp:extent cx="1146810" cy="291465"/>
                <wp:effectExtent l="0" t="0" r="15240" b="13335"/>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291465"/>
                        </a:xfrm>
                        <a:prstGeom prst="rect">
                          <a:avLst/>
                        </a:prstGeom>
                        <a:solidFill>
                          <a:schemeClr val="accent1">
                            <a:lumMod val="40000"/>
                            <a:lumOff val="60000"/>
                          </a:schemeClr>
                        </a:solidFill>
                        <a:ln w="9525">
                          <a:solidFill>
                            <a:srgbClr val="000000"/>
                          </a:solidFill>
                          <a:miter lim="800000"/>
                          <a:headEnd/>
                          <a:tailEnd/>
                        </a:ln>
                      </wps:spPr>
                      <wps:txbx>
                        <w:txbxContent>
                          <w:p w14:paraId="3BA72F86" w14:textId="77777777" w:rsidR="00B465A6" w:rsidRDefault="00B465A6" w:rsidP="00BB7336">
                            <w:r>
                              <w:t>High Confidence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5AD8F" id="_x0000_s1032" type="#_x0000_t202" style="position:absolute;margin-left:403.6pt;margin-top:4.5pt;width:90.3pt;height:22.9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" fillcolor="#bdd6ee [1300]">
                <v:textbox>
                  <w:txbxContent>
                    <w:p w14:paraId="3BA72F86" w14:textId="77777777" w:rsidR="00B465A6" w:rsidRDefault="00B465A6" w:rsidP="00BB7336">
                      <w:r>
                        <w:t>High Confidence</w:t>
                      </w:r>
                    </w:p>
                  </w:txbxContent>
                </v:textbox>
              </v:shape>
            </w:pict>
          </mc:Fallback>
        </mc:AlternateContent>
      </w:r>
    </w:p>
    <w:p w14:paraId="47455542" w14:textId="78FFE327" w:rsidR="00BB7336" w:rsidRPr="00DD06EA" w:rsidRDefault="00BB7336" w:rsidP="00AE48E0">
      <w:pPr>
        <w:autoSpaceDE w:val="0"/>
        <w:autoSpaceDN w:val="0"/>
        <w:adjustRightInd w:val="0"/>
        <w:spacing w:before="120" w:after="240" w:line="276" w:lineRule="auto"/>
      </w:pPr>
    </w:p>
    <w:p w14:paraId="49E49D04" w14:textId="4C767FF4" w:rsidR="00BB7336" w:rsidRPr="00DD06EA" w:rsidRDefault="00BB7336" w:rsidP="00AE48E0">
      <w:pPr>
        <w:autoSpaceDE w:val="0"/>
        <w:autoSpaceDN w:val="0"/>
        <w:adjustRightInd w:val="0"/>
        <w:spacing w:before="120" w:after="240" w:line="276" w:lineRule="auto"/>
      </w:pPr>
    </w:p>
    <w:p w14:paraId="62688CB3" w14:textId="13CD3E8E" w:rsidR="00BB7336" w:rsidRPr="00DD06EA" w:rsidRDefault="00BB7336" w:rsidP="00AE48E0">
      <w:pPr>
        <w:autoSpaceDE w:val="0"/>
        <w:autoSpaceDN w:val="0"/>
        <w:adjustRightInd w:val="0"/>
        <w:spacing w:before="120" w:after="240" w:line="276" w:lineRule="auto"/>
      </w:pPr>
    </w:p>
    <w:p w14:paraId="5FEA9E98" w14:textId="5D2090D7" w:rsidR="00BB7336" w:rsidRPr="00DD06EA" w:rsidRDefault="00BB7336" w:rsidP="00AE48E0">
      <w:pPr>
        <w:autoSpaceDE w:val="0"/>
        <w:autoSpaceDN w:val="0"/>
        <w:adjustRightInd w:val="0"/>
        <w:spacing w:before="120" w:after="240" w:line="276" w:lineRule="auto"/>
      </w:pPr>
    </w:p>
    <w:p w14:paraId="5845AA48" w14:textId="77777777" w:rsidR="00547913" w:rsidRPr="00992702" w:rsidRDefault="00547913" w:rsidP="00AE48E0">
      <w:pPr>
        <w:spacing w:line="276" w:lineRule="auto"/>
      </w:pPr>
    </w:p>
    <w:p w14:paraId="37F0175C" w14:textId="7E151802" w:rsidR="002F7A4E" w:rsidRPr="006B757D" w:rsidRDefault="00AC6AC3" w:rsidP="00AE48E0">
      <w:pPr>
        <w:spacing w:line="276" w:lineRule="auto"/>
      </w:pPr>
      <w:r w:rsidRPr="006B757D">
        <w:t>Figure III</w:t>
      </w:r>
      <w:r w:rsidR="006B757D" w:rsidRPr="006B757D">
        <w:t>: Confidence Grading o</w:t>
      </w:r>
      <w:r w:rsidR="006B757D">
        <w:t>f Claims (</w:t>
      </w:r>
      <w:r w:rsidR="004008E5">
        <w:t>High Weight of Evidence</w:t>
      </w:r>
      <w:r w:rsidR="006B757D">
        <w:t>)</w:t>
      </w:r>
    </w:p>
    <w:p w14:paraId="1D2BCD52" w14:textId="5B0F10E9" w:rsidR="00AC6AC3" w:rsidRPr="006B757D" w:rsidRDefault="002F7A4E" w:rsidP="00AE48E0">
      <w:pPr>
        <w:spacing w:line="276" w:lineRule="auto"/>
      </w:pPr>
      <w:r>
        <w:rPr>
          <w:noProof/>
          <w:lang w:val="en-US"/>
        </w:rPr>
        <mc:AlternateContent>
          <mc:Choice Requires="wps">
            <w:drawing>
              <wp:anchor distT="0" distB="0" distL="114300" distR="114300" simplePos="0" relativeHeight="251658241" behindDoc="0" locked="0" layoutInCell="1" allowOverlap="1" wp14:anchorId="72FA5472" wp14:editId="21F3496F">
                <wp:simplePos x="0" y="0"/>
                <wp:positionH relativeFrom="column">
                  <wp:posOffset>38100</wp:posOffset>
                </wp:positionH>
                <wp:positionV relativeFrom="paragraph">
                  <wp:posOffset>59055</wp:posOffset>
                </wp:positionV>
                <wp:extent cx="4942840" cy="4019550"/>
                <wp:effectExtent l="0" t="0" r="10160" b="19050"/>
                <wp:wrapNone/>
                <wp:docPr id="199" name="Rectangle 199"/>
                <wp:cNvGraphicFramePr/>
                <a:graphic xmlns:a="http://schemas.openxmlformats.org/drawingml/2006/main">
                  <a:graphicData uri="http://schemas.microsoft.com/office/word/2010/wordprocessingShape">
                    <wps:wsp>
                      <wps:cNvSpPr/>
                      <wps:spPr>
                        <a:xfrm>
                          <a:off x="0" y="0"/>
                          <a:ext cx="4942840" cy="401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EF655" id="Rectangle 199" o:spid="_x0000_s1026" style="position:absolute;margin-left:3pt;margin-top:4.65pt;width:389.2pt;height:31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" filled="f" strokecolor="#1f4d78 [1604]" strokeweight="1pt"/>
            </w:pict>
          </mc:Fallback>
        </mc:AlternateContent>
      </w:r>
    </w:p>
    <w:p w14:paraId="3470796A" w14:textId="385AE658" w:rsidR="00AC6AC3" w:rsidRPr="006B757D" w:rsidRDefault="00AC6AC3" w:rsidP="00AE48E0">
      <w:pPr>
        <w:autoSpaceDE w:val="0"/>
        <w:autoSpaceDN w:val="0"/>
        <w:adjustRightInd w:val="0"/>
        <w:spacing w:before="120" w:after="240" w:line="276" w:lineRule="auto"/>
      </w:pPr>
      <w:r>
        <w:rPr>
          <w:noProof/>
          <w:lang w:val="en-US"/>
        </w:rPr>
        <mc:AlternateContent>
          <mc:Choice Requires="wps">
            <w:drawing>
              <wp:anchor distT="45720" distB="45720" distL="114300" distR="114300" simplePos="0" relativeHeight="251658243" behindDoc="0" locked="0" layoutInCell="1" allowOverlap="1" wp14:anchorId="0484A1AB" wp14:editId="46F2A88F">
                <wp:simplePos x="0" y="0"/>
                <wp:positionH relativeFrom="column">
                  <wp:posOffset>1502410</wp:posOffset>
                </wp:positionH>
                <wp:positionV relativeFrom="paragraph">
                  <wp:posOffset>160655</wp:posOffset>
                </wp:positionV>
                <wp:extent cx="330200" cy="242570"/>
                <wp:effectExtent l="0" t="0" r="0" b="508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42570"/>
                        </a:xfrm>
                        <a:prstGeom prst="rect">
                          <a:avLst/>
                        </a:prstGeom>
                        <a:solidFill>
                          <a:srgbClr val="FFFFFF"/>
                        </a:solidFill>
                        <a:ln w="9525">
                          <a:noFill/>
                          <a:miter lim="800000"/>
                          <a:headEnd/>
                          <a:tailEnd/>
                        </a:ln>
                      </wps:spPr>
                      <wps:txbx>
                        <w:txbxContent>
                          <w:p w14:paraId="2FE90B67" w14:textId="77777777" w:rsidR="00B465A6" w:rsidRPr="000621AA" w:rsidRDefault="00B465A6" w:rsidP="00AC6AC3">
                            <w:pPr>
                              <w:rPr>
                                <w:b/>
                              </w:rPr>
                            </w:pPr>
                            <w:r>
                              <w:rPr>
                                <w:b/>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4A1AB" id="_x0000_s1033" type="#_x0000_t202" style="position:absolute;margin-left:118.3pt;margin-top:12.65pt;width:26pt;height:19.1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" stroked="f">
                <v:textbox>
                  <w:txbxContent>
                    <w:p w14:paraId="2FE90B67" w14:textId="77777777" w:rsidR="00B465A6" w:rsidRPr="000621AA" w:rsidRDefault="00B465A6" w:rsidP="00AC6AC3">
                      <w:pPr>
                        <w:rPr>
                          <w:b/>
                        </w:rPr>
                      </w:pPr>
                      <w:r>
                        <w:rPr>
                          <w:b/>
                        </w:rPr>
                        <w:t>F’</w:t>
                      </w:r>
                    </w:p>
                  </w:txbxContent>
                </v:textbox>
                <w10:wrap type="square"/>
              </v:shape>
            </w:pict>
          </mc:Fallback>
        </mc:AlternateContent>
      </w:r>
      <w:r>
        <w:rPr>
          <w:noProof/>
          <w:lang w:val="en-US"/>
        </w:rPr>
        <mc:AlternateContent>
          <mc:Choice Requires="wps">
            <w:drawing>
              <wp:anchor distT="0" distB="0" distL="114300" distR="114300" simplePos="0" relativeHeight="251658240" behindDoc="0" locked="0" layoutInCell="1" allowOverlap="1" wp14:anchorId="3F27A655" wp14:editId="0DE75389">
                <wp:simplePos x="0" y="0"/>
                <wp:positionH relativeFrom="column">
                  <wp:posOffset>1495806</wp:posOffset>
                </wp:positionH>
                <wp:positionV relativeFrom="paragraph">
                  <wp:posOffset>144938</wp:posOffset>
                </wp:positionV>
                <wp:extent cx="2708187" cy="3306570"/>
                <wp:effectExtent l="114300" t="0" r="111760" b="0"/>
                <wp:wrapNone/>
                <wp:docPr id="198" name="Oval 198"/>
                <wp:cNvGraphicFramePr/>
                <a:graphic xmlns:a="http://schemas.openxmlformats.org/drawingml/2006/main">
                  <a:graphicData uri="http://schemas.microsoft.com/office/word/2010/wordprocessingShape">
                    <wps:wsp>
                      <wps:cNvSpPr/>
                      <wps:spPr>
                        <a:xfrm rot="19683948">
                          <a:off x="0" y="0"/>
                          <a:ext cx="2708187" cy="3306570"/>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4D904E" id="Oval 198" o:spid="_x0000_s1026" style="position:absolute;margin-left:117.8pt;margin-top:11.4pt;width:213.25pt;height:260.35pt;rotation:-2092840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" filled="f" strokecolor="red" strokeweight="1pt">
                <v:stroke dashstyle="1 1" joinstyle="miter"/>
              </v:oval>
            </w:pict>
          </mc:Fallback>
        </mc:AlternateContent>
      </w:r>
    </w:p>
    <w:p w14:paraId="59EE9AF1" w14:textId="56D9E832" w:rsidR="00AC6AC3" w:rsidRPr="006B757D" w:rsidRDefault="002F7A4E" w:rsidP="00AE48E0">
      <w:pPr>
        <w:autoSpaceDE w:val="0"/>
        <w:autoSpaceDN w:val="0"/>
        <w:adjustRightInd w:val="0"/>
        <w:spacing w:before="120" w:after="240" w:line="276" w:lineRule="auto"/>
      </w:pPr>
      <w:r>
        <w:rPr>
          <w:noProof/>
          <w:lang w:val="en-US"/>
        </w:rPr>
        <mc:AlternateContent>
          <mc:Choice Requires="wps">
            <w:drawing>
              <wp:anchor distT="0" distB="0" distL="114300" distR="114300" simplePos="0" relativeHeight="251658267" behindDoc="0" locked="0" layoutInCell="1" allowOverlap="1" wp14:anchorId="2FDF8737" wp14:editId="72DFD15B">
                <wp:simplePos x="0" y="0"/>
                <wp:positionH relativeFrom="column">
                  <wp:posOffset>5116195</wp:posOffset>
                </wp:positionH>
                <wp:positionV relativeFrom="paragraph">
                  <wp:posOffset>208915</wp:posOffset>
                </wp:positionV>
                <wp:extent cx="1244600" cy="340360"/>
                <wp:effectExtent l="0" t="0" r="12700" b="21590"/>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340360"/>
                        </a:xfrm>
                        <a:prstGeom prst="rect">
                          <a:avLst/>
                        </a:prstGeom>
                        <a:solidFill>
                          <a:schemeClr val="accent1">
                            <a:lumMod val="75000"/>
                          </a:schemeClr>
                        </a:solidFill>
                        <a:ln w="9525">
                          <a:solidFill>
                            <a:srgbClr val="000000"/>
                          </a:solidFill>
                          <a:miter lim="800000"/>
                          <a:headEnd/>
                          <a:tailEnd/>
                        </a:ln>
                      </wps:spPr>
                      <wps:txbx>
                        <w:txbxContent>
                          <w:p w14:paraId="03B9C6C7" w14:textId="77777777" w:rsidR="00B465A6" w:rsidRDefault="00B465A6" w:rsidP="00AC6AC3">
                            <w:r>
                              <w:t>Low Confidence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F8737" id="_x0000_s1034" type="#_x0000_t202" style="position:absolute;margin-left:402.85pt;margin-top:16.45pt;width:98pt;height:26.8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" fillcolor="#2e74b5 [2404]">
                <v:textbox>
                  <w:txbxContent>
                    <w:p w14:paraId="03B9C6C7" w14:textId="77777777" w:rsidR="00B465A6" w:rsidRDefault="00B465A6" w:rsidP="00AC6AC3">
                      <w:r>
                        <w:t>Low Confidence</w:t>
                      </w:r>
                    </w:p>
                  </w:txbxContent>
                </v:textbox>
              </v:shape>
            </w:pict>
          </mc:Fallback>
        </mc:AlternateContent>
      </w:r>
    </w:p>
    <w:p w14:paraId="31BAFBAC" w14:textId="5861A08C" w:rsidR="00AC6AC3" w:rsidRPr="006B757D" w:rsidRDefault="000831A4" w:rsidP="00AE48E0">
      <w:pPr>
        <w:autoSpaceDE w:val="0"/>
        <w:autoSpaceDN w:val="0"/>
        <w:adjustRightInd w:val="0"/>
        <w:spacing w:before="120" w:after="240" w:line="276" w:lineRule="auto"/>
      </w:pPr>
      <w:r>
        <w:rPr>
          <w:noProof/>
          <w:lang w:val="en-US"/>
        </w:rPr>
        <mc:AlternateContent>
          <mc:Choice Requires="wps">
            <w:drawing>
              <wp:anchor distT="45720" distB="45720" distL="114300" distR="114300" simplePos="0" relativeHeight="251658244" behindDoc="0" locked="0" layoutInCell="1" allowOverlap="1" wp14:anchorId="662169DA" wp14:editId="54CCDBE5">
                <wp:simplePos x="0" y="0"/>
                <wp:positionH relativeFrom="column">
                  <wp:posOffset>2714625</wp:posOffset>
                </wp:positionH>
                <wp:positionV relativeFrom="paragraph">
                  <wp:posOffset>218440</wp:posOffset>
                </wp:positionV>
                <wp:extent cx="323850" cy="257175"/>
                <wp:effectExtent l="0" t="0" r="0" b="9525"/>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57175"/>
                        </a:xfrm>
                        <a:prstGeom prst="rect">
                          <a:avLst/>
                        </a:prstGeom>
                        <a:solidFill>
                          <a:srgbClr val="FFFFFF"/>
                        </a:solidFill>
                        <a:ln w="9525">
                          <a:noFill/>
                          <a:miter lim="800000"/>
                          <a:headEnd/>
                          <a:tailEnd/>
                        </a:ln>
                      </wps:spPr>
                      <wps:txbx>
                        <w:txbxContent>
                          <w:p w14:paraId="183F946A" w14:textId="77777777" w:rsidR="00B465A6" w:rsidRPr="000621AA" w:rsidRDefault="00B465A6" w:rsidP="00AC6AC3">
                            <w:pPr>
                              <w:rPr>
                                <w:b/>
                              </w:rPr>
                            </w:pPr>
                            <w:r>
                              <w:rPr>
                                <w:b/>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169DA" id="_x0000_s1035" type="#_x0000_t202" style="position:absolute;margin-left:213.75pt;margin-top:17.2pt;width:25.5pt;height:20.2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" stroked="f">
                <v:textbox>
                  <w:txbxContent>
                    <w:p w14:paraId="183F946A" w14:textId="77777777" w:rsidR="00B465A6" w:rsidRPr="000621AA" w:rsidRDefault="00B465A6" w:rsidP="00AC6AC3">
                      <w:pPr>
                        <w:rPr>
                          <w:b/>
                        </w:rPr>
                      </w:pPr>
                      <w:r>
                        <w:rPr>
                          <w:b/>
                        </w:rPr>
                        <w:t>E’</w:t>
                      </w:r>
                    </w:p>
                  </w:txbxContent>
                </v:textbox>
                <w10:wrap type="square"/>
              </v:shape>
            </w:pict>
          </mc:Fallback>
        </mc:AlternateContent>
      </w:r>
    </w:p>
    <w:p w14:paraId="6D55D371" w14:textId="7EFF8F23" w:rsidR="00AC6AC3" w:rsidRPr="006B757D" w:rsidRDefault="008D50BA" w:rsidP="00AE48E0">
      <w:pPr>
        <w:autoSpaceDE w:val="0"/>
        <w:autoSpaceDN w:val="0"/>
        <w:adjustRightInd w:val="0"/>
        <w:spacing w:before="120" w:after="240" w:line="276" w:lineRule="auto"/>
      </w:pPr>
      <w:r>
        <w:rPr>
          <w:noProof/>
          <w:lang w:val="en-US"/>
        </w:rPr>
        <w:lastRenderedPageBreak/>
        <mc:AlternateContent>
          <mc:Choice Requires="wps">
            <w:drawing>
              <wp:anchor distT="0" distB="0" distL="114300" distR="114300" simplePos="0" relativeHeight="251658263" behindDoc="0" locked="0" layoutInCell="1" allowOverlap="1" wp14:anchorId="70BF2E4A" wp14:editId="009137A5">
                <wp:simplePos x="0" y="0"/>
                <wp:positionH relativeFrom="column">
                  <wp:posOffset>2043953</wp:posOffset>
                </wp:positionH>
                <wp:positionV relativeFrom="paragraph">
                  <wp:posOffset>259752</wp:posOffset>
                </wp:positionV>
                <wp:extent cx="1867535" cy="1247626"/>
                <wp:effectExtent l="0" t="0" r="18415" b="10160"/>
                <wp:wrapNone/>
                <wp:docPr id="201" name="Oval 201"/>
                <wp:cNvGraphicFramePr/>
                <a:graphic xmlns:a="http://schemas.openxmlformats.org/drawingml/2006/main">
                  <a:graphicData uri="http://schemas.microsoft.com/office/word/2010/wordprocessingShape">
                    <wps:wsp>
                      <wps:cNvSpPr/>
                      <wps:spPr>
                        <a:xfrm>
                          <a:off x="0" y="0"/>
                          <a:ext cx="1867535" cy="1247626"/>
                        </a:xfrm>
                        <a:prstGeom prst="ellipse">
                          <a:avLst/>
                        </a:prstGeom>
                        <a:gradFill flip="none" rotWithShape="1">
                          <a:gsLst>
                            <a:gs pos="0">
                              <a:schemeClr val="accent1">
                                <a:tint val="66000"/>
                                <a:satMod val="160000"/>
                              </a:schemeClr>
                            </a:gs>
                            <a:gs pos="50000">
                              <a:schemeClr val="accent1">
                                <a:tint val="44500"/>
                                <a:satMod val="160000"/>
                                <a:alpha val="10000"/>
                              </a:schemeClr>
                            </a:gs>
                            <a:gs pos="100000">
                              <a:schemeClr val="accent1">
                                <a:tint val="23500"/>
                                <a:satMod val="160000"/>
                              </a:schemeClr>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86AFCE" id="Oval 201" o:spid="_x0000_s1026" style="position:absolute;margin-left:160.95pt;margin-top:20.45pt;width:147.05pt;height:98.2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" fillcolor="#92bce3 [2132]" strokecolor="#1f4d78 [1604]" strokeweight="1pt">
                <v:fill color2="#d9e8f5 [756]" rotate="t" angle="45" colors="0 #9ac3f6;.5 #c1d8f8;1 #e1ecfb" focus="100%" type="gradient"/>
                <v:stroke joinstyle="miter"/>
              </v:oval>
            </w:pict>
          </mc:Fallback>
        </mc:AlternateContent>
      </w:r>
      <w:r w:rsidR="00792197">
        <w:rPr>
          <w:noProof/>
          <w:lang w:val="en-US"/>
        </w:rPr>
        <mc:AlternateContent>
          <mc:Choice Requires="wps">
            <w:drawing>
              <wp:anchor distT="0" distB="0" distL="114300" distR="114300" simplePos="0" relativeHeight="251658266" behindDoc="0" locked="0" layoutInCell="1" allowOverlap="1" wp14:anchorId="381F9FD1" wp14:editId="6D59AD17">
                <wp:simplePos x="0" y="0"/>
                <wp:positionH relativeFrom="column">
                  <wp:posOffset>2544258</wp:posOffset>
                </wp:positionH>
                <wp:positionV relativeFrom="paragraph">
                  <wp:posOffset>26932</wp:posOffset>
                </wp:positionV>
                <wp:extent cx="640715" cy="1637194"/>
                <wp:effectExtent l="152400" t="0" r="159385" b="0"/>
                <wp:wrapNone/>
                <wp:docPr id="204" name="Oval 204"/>
                <wp:cNvGraphicFramePr/>
                <a:graphic xmlns:a="http://schemas.openxmlformats.org/drawingml/2006/main">
                  <a:graphicData uri="http://schemas.microsoft.com/office/word/2010/wordprocessingShape">
                    <wps:wsp>
                      <wps:cNvSpPr/>
                      <wps:spPr>
                        <a:xfrm rot="12370381">
                          <a:off x="0" y="0"/>
                          <a:ext cx="640715" cy="1637194"/>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A55902" id="Oval 204" o:spid="_x0000_s1026" style="position:absolute;margin-left:200.35pt;margin-top:2.1pt;width:50.45pt;height:128.9pt;rotation:-10081205fd;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" filled="f" strokecolor="red" strokeweight="1pt">
                <v:stroke dashstyle="1 1" joinstyle="miter"/>
              </v:oval>
            </w:pict>
          </mc:Fallback>
        </mc:AlternateContent>
      </w:r>
      <w:r w:rsidR="002F7A4E">
        <w:rPr>
          <w:noProof/>
          <w:lang w:val="en-US"/>
        </w:rPr>
        <mc:AlternateContent>
          <mc:Choice Requires="wps">
            <w:drawing>
              <wp:anchor distT="0" distB="0" distL="114300" distR="114300" simplePos="0" relativeHeight="251658268" behindDoc="0" locked="0" layoutInCell="1" allowOverlap="1" wp14:anchorId="0096D5FC" wp14:editId="5F56562D">
                <wp:simplePos x="0" y="0"/>
                <wp:positionH relativeFrom="column">
                  <wp:posOffset>5117465</wp:posOffset>
                </wp:positionH>
                <wp:positionV relativeFrom="paragraph">
                  <wp:posOffset>264795</wp:posOffset>
                </wp:positionV>
                <wp:extent cx="1361440" cy="310515"/>
                <wp:effectExtent l="0" t="0" r="10160" b="13335"/>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310515"/>
                        </a:xfrm>
                        <a:prstGeom prst="rect">
                          <a:avLst/>
                        </a:prstGeom>
                        <a:solidFill>
                          <a:schemeClr val="accent1">
                            <a:lumMod val="60000"/>
                            <a:lumOff val="40000"/>
                          </a:schemeClr>
                        </a:solidFill>
                        <a:ln w="9525">
                          <a:solidFill>
                            <a:srgbClr val="000000"/>
                          </a:solidFill>
                          <a:miter lim="800000"/>
                          <a:headEnd/>
                          <a:tailEnd/>
                        </a:ln>
                      </wps:spPr>
                      <wps:txbx>
                        <w:txbxContent>
                          <w:p w14:paraId="17DF35DC" w14:textId="77777777" w:rsidR="00B465A6" w:rsidRDefault="00B465A6" w:rsidP="00AC6AC3">
                            <w:r>
                              <w:t>Medium Confidence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6D5FC" id="_x0000_s1036" type="#_x0000_t202" style="position:absolute;margin-left:402.95pt;margin-top:20.85pt;width:107.2pt;height:24.4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" fillcolor="#9cc2e5 [1940]">
                <v:textbox>
                  <w:txbxContent>
                    <w:p w14:paraId="17DF35DC" w14:textId="77777777" w:rsidR="00B465A6" w:rsidRDefault="00B465A6" w:rsidP="00AC6AC3">
                      <w:r>
                        <w:t>Medium Confidence</w:t>
                      </w:r>
                    </w:p>
                  </w:txbxContent>
                </v:textbox>
              </v:shape>
            </w:pict>
          </mc:Fallback>
        </mc:AlternateContent>
      </w:r>
    </w:p>
    <w:p w14:paraId="109D8DB7" w14:textId="1BAB30C1" w:rsidR="00AC6AC3" w:rsidRPr="006B757D" w:rsidRDefault="009D32CD" w:rsidP="00AE48E0">
      <w:pPr>
        <w:autoSpaceDE w:val="0"/>
        <w:autoSpaceDN w:val="0"/>
        <w:adjustRightInd w:val="0"/>
        <w:spacing w:before="120" w:after="240" w:line="276" w:lineRule="auto"/>
      </w:pPr>
      <w:r>
        <w:rPr>
          <w:noProof/>
          <w:lang w:val="en-US"/>
        </w:rPr>
        <mc:AlternateContent>
          <mc:Choice Requires="wps">
            <w:drawing>
              <wp:anchor distT="0" distB="0" distL="114300" distR="114300" simplePos="0" relativeHeight="251658265" behindDoc="0" locked="0" layoutInCell="1" allowOverlap="1" wp14:anchorId="129DC914" wp14:editId="5A9C74AE">
                <wp:simplePos x="0" y="0"/>
                <wp:positionH relativeFrom="column">
                  <wp:posOffset>2710927</wp:posOffset>
                </wp:positionH>
                <wp:positionV relativeFrom="paragraph">
                  <wp:posOffset>276897</wp:posOffset>
                </wp:positionV>
                <wp:extent cx="473075" cy="333487"/>
                <wp:effectExtent l="0" t="0" r="22225" b="28575"/>
                <wp:wrapNone/>
                <wp:docPr id="205" name="Oval 205"/>
                <wp:cNvGraphicFramePr/>
                <a:graphic xmlns:a="http://schemas.openxmlformats.org/drawingml/2006/main">
                  <a:graphicData uri="http://schemas.microsoft.com/office/word/2010/wordprocessingShape">
                    <wps:wsp>
                      <wps:cNvSpPr/>
                      <wps:spPr>
                        <a:xfrm>
                          <a:off x="0" y="0"/>
                          <a:ext cx="473075" cy="333487"/>
                        </a:xfrm>
                        <a:prstGeom prst="ellipse">
                          <a:avLst/>
                        </a:prstGeom>
                        <a:gradFill flip="none" rotWithShape="1">
                          <a:gsLst>
                            <a:gs pos="0">
                              <a:schemeClr val="accent1">
                                <a:shade val="30000"/>
                                <a:satMod val="115000"/>
                                <a:alpha val="50000"/>
                              </a:schemeClr>
                            </a:gs>
                            <a:gs pos="12000">
                              <a:schemeClr val="accent1">
                                <a:shade val="67500"/>
                                <a:satMod val="115000"/>
                                <a:alpha val="50000"/>
                              </a:schemeClr>
                            </a:gs>
                            <a:gs pos="100000">
                              <a:schemeClr val="accent1">
                                <a:shade val="100000"/>
                                <a:satMod val="115000"/>
                              </a:schemeClr>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1E7426" id="Oval 205" o:spid="_x0000_s1026" style="position:absolute;margin-left:213.45pt;margin-top:21.8pt;width:37.25pt;height:26.2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" fillcolor="#122e47 [964]" strokecolor="#1f4d78 [1604]" strokeweight="1pt">
                <v:fill color2="#5b9bd5 [3204]" o:opacity2=".5" rotate="t" angle="45" colors="0 #2c5981;7864f #4382ba;1 #529bde" focus="100%" type="gradient"/>
                <v:stroke joinstyle="miter"/>
              </v:oval>
            </w:pict>
          </mc:Fallback>
        </mc:AlternateContent>
      </w:r>
    </w:p>
    <w:p w14:paraId="07525C1B" w14:textId="1D851C6A" w:rsidR="00AC6AC3" w:rsidRPr="006B757D" w:rsidRDefault="002F7A4E" w:rsidP="00AE48E0">
      <w:pPr>
        <w:autoSpaceDE w:val="0"/>
        <w:autoSpaceDN w:val="0"/>
        <w:adjustRightInd w:val="0"/>
        <w:spacing w:before="120" w:after="240" w:line="276" w:lineRule="auto"/>
      </w:pPr>
      <w:r>
        <w:rPr>
          <w:noProof/>
          <w:lang w:val="en-US"/>
        </w:rPr>
        <mc:AlternateContent>
          <mc:Choice Requires="wps">
            <w:drawing>
              <wp:anchor distT="0" distB="0" distL="114300" distR="114300" simplePos="0" relativeHeight="251658269" behindDoc="0" locked="0" layoutInCell="1" allowOverlap="1" wp14:anchorId="557FB1FB" wp14:editId="08B5DA96">
                <wp:simplePos x="0" y="0"/>
                <wp:positionH relativeFrom="column">
                  <wp:posOffset>5115560</wp:posOffset>
                </wp:positionH>
                <wp:positionV relativeFrom="paragraph">
                  <wp:posOffset>193974</wp:posOffset>
                </wp:positionV>
                <wp:extent cx="1146810" cy="291465"/>
                <wp:effectExtent l="0" t="0" r="15240" b="13335"/>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291465"/>
                        </a:xfrm>
                        <a:prstGeom prst="rect">
                          <a:avLst/>
                        </a:prstGeom>
                        <a:solidFill>
                          <a:schemeClr val="accent1">
                            <a:lumMod val="40000"/>
                            <a:lumOff val="60000"/>
                          </a:schemeClr>
                        </a:solidFill>
                        <a:ln w="9525">
                          <a:solidFill>
                            <a:srgbClr val="000000"/>
                          </a:solidFill>
                          <a:miter lim="800000"/>
                          <a:headEnd/>
                          <a:tailEnd/>
                        </a:ln>
                      </wps:spPr>
                      <wps:txbx>
                        <w:txbxContent>
                          <w:p w14:paraId="593CAB46" w14:textId="77777777" w:rsidR="00B465A6" w:rsidRDefault="00B465A6" w:rsidP="00AC6AC3">
                            <w:r>
                              <w:t>High Confidence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FB1FB" id="_x0000_s1037" type="#_x0000_t202" style="position:absolute;margin-left:402.8pt;margin-top:15.25pt;width:90.3pt;height:22.9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" fillcolor="#bdd6ee [1300]">
                <v:textbox>
                  <w:txbxContent>
                    <w:p w14:paraId="593CAB46" w14:textId="77777777" w:rsidR="00B465A6" w:rsidRDefault="00B465A6" w:rsidP="00AC6AC3">
                      <w:r>
                        <w:t>High Confidence</w:t>
                      </w:r>
                    </w:p>
                  </w:txbxContent>
                </v:textbox>
              </v:shape>
            </w:pict>
          </mc:Fallback>
        </mc:AlternateContent>
      </w:r>
      <w:r w:rsidR="00DB30FE">
        <w:rPr>
          <w:noProof/>
          <w:lang w:val="en-US"/>
        </w:rPr>
        <mc:AlternateContent>
          <mc:Choice Requires="wps">
            <w:drawing>
              <wp:anchor distT="0" distB="0" distL="114300" distR="114300" simplePos="0" relativeHeight="251658264" behindDoc="0" locked="0" layoutInCell="1" allowOverlap="1" wp14:anchorId="71187F0C" wp14:editId="5D5B6002">
                <wp:simplePos x="0" y="0"/>
                <wp:positionH relativeFrom="column">
                  <wp:posOffset>2926080</wp:posOffset>
                </wp:positionH>
                <wp:positionV relativeFrom="paragraph">
                  <wp:posOffset>58420</wp:posOffset>
                </wp:positionV>
                <wp:extent cx="45719" cy="45719"/>
                <wp:effectExtent l="0" t="0" r="12065" b="12065"/>
                <wp:wrapNone/>
                <wp:docPr id="207" name="Oval 207"/>
                <wp:cNvGraphicFramePr/>
                <a:graphic xmlns:a="http://schemas.openxmlformats.org/drawingml/2006/main">
                  <a:graphicData uri="http://schemas.microsoft.com/office/word/2010/wordprocessingShape">
                    <wps:wsp>
                      <wps:cNvSpPr/>
                      <wps:spPr>
                        <a:xfrm flipH="1">
                          <a:off x="0" y="0"/>
                          <a:ext cx="45719" cy="45719"/>
                        </a:xfrm>
                        <a:prstGeom prst="ellipse">
                          <a:avLst/>
                        </a:prstGeom>
                        <a:solidFill>
                          <a:srgbClr val="002060"/>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E08CE0" id="Oval 207" o:spid="_x0000_s1026" style="position:absolute;margin-left:230.4pt;margin-top:4.6pt;width:3.6pt;height:3.6pt;flip:x;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" fillcolor="#002060" strokecolor="#1f3763 [1608]" strokeweight="1pt">
                <v:stroke joinstyle="miter"/>
              </v:oval>
            </w:pict>
          </mc:Fallback>
        </mc:AlternateContent>
      </w:r>
    </w:p>
    <w:p w14:paraId="7DA43B3E" w14:textId="008CABE5" w:rsidR="00AC6AC3" w:rsidRPr="006B757D" w:rsidRDefault="00AC6AC3" w:rsidP="00AE48E0">
      <w:pPr>
        <w:autoSpaceDE w:val="0"/>
        <w:autoSpaceDN w:val="0"/>
        <w:adjustRightInd w:val="0"/>
        <w:spacing w:before="120" w:after="240" w:line="276" w:lineRule="auto"/>
      </w:pPr>
    </w:p>
    <w:p w14:paraId="2081A5A6" w14:textId="016E8C76" w:rsidR="00AC6AC3" w:rsidRPr="006B757D" w:rsidRDefault="00AC6AC3" w:rsidP="00AE48E0">
      <w:pPr>
        <w:autoSpaceDE w:val="0"/>
        <w:autoSpaceDN w:val="0"/>
        <w:adjustRightInd w:val="0"/>
        <w:spacing w:before="120" w:after="240" w:line="276" w:lineRule="auto"/>
      </w:pPr>
    </w:p>
    <w:p w14:paraId="187F9FC9" w14:textId="21D1D05D" w:rsidR="00AC6AC3" w:rsidRPr="006B757D" w:rsidRDefault="00AC6AC3" w:rsidP="00AE48E0">
      <w:pPr>
        <w:autoSpaceDE w:val="0"/>
        <w:autoSpaceDN w:val="0"/>
        <w:adjustRightInd w:val="0"/>
        <w:spacing w:before="120" w:after="240" w:line="276" w:lineRule="auto"/>
      </w:pPr>
    </w:p>
    <w:p w14:paraId="0A38316B" w14:textId="14A3BEFB" w:rsidR="00184C93" w:rsidRPr="00A66B91" w:rsidRDefault="00184C93" w:rsidP="00AE48E0">
      <w:pPr>
        <w:autoSpaceDE w:val="0"/>
        <w:autoSpaceDN w:val="0"/>
        <w:adjustRightInd w:val="0"/>
        <w:spacing w:before="120" w:after="240" w:line="276" w:lineRule="auto"/>
      </w:pPr>
      <w:r w:rsidRPr="00A66B91">
        <w:t>Figure IV</w:t>
      </w:r>
      <w:r w:rsidR="00A66B91" w:rsidRPr="00A66B91">
        <w:t xml:space="preserve">: Family of </w:t>
      </w:r>
      <w:r w:rsidR="00A66B91">
        <w:t>Loss Exceedance Curves</w:t>
      </w:r>
    </w:p>
    <w:p w14:paraId="28CC92A4" w14:textId="5DECAF82" w:rsidR="00A36CED" w:rsidRPr="00562B6D" w:rsidRDefault="00751E01" w:rsidP="00AE48E0">
      <w:pPr>
        <w:autoSpaceDE w:val="0"/>
        <w:autoSpaceDN w:val="0"/>
        <w:adjustRightInd w:val="0"/>
        <w:spacing w:before="120" w:after="240" w:line="276" w:lineRule="auto"/>
      </w:pPr>
      <w:r>
        <w:rPr>
          <w:rFonts w:eastAsia="Times New Roman" w:cstheme="minorHAnsi"/>
          <w:noProof/>
          <w:lang w:val="en-US"/>
        </w:rPr>
        <mc:AlternateContent>
          <mc:Choice Requires="wps">
            <w:drawing>
              <wp:anchor distT="0" distB="0" distL="114300" distR="114300" simplePos="0" relativeHeight="251658250" behindDoc="0" locked="0" layoutInCell="1" allowOverlap="1" wp14:anchorId="4111C3CB" wp14:editId="61910B20">
                <wp:simplePos x="0" y="0"/>
                <wp:positionH relativeFrom="column">
                  <wp:posOffset>2905125</wp:posOffset>
                </wp:positionH>
                <wp:positionV relativeFrom="paragraph">
                  <wp:posOffset>931545</wp:posOffset>
                </wp:positionV>
                <wp:extent cx="19050" cy="3200400"/>
                <wp:effectExtent l="0" t="0" r="19050" b="19050"/>
                <wp:wrapNone/>
                <wp:docPr id="288" name="Straight Connector 288"/>
                <wp:cNvGraphicFramePr/>
                <a:graphic xmlns:a="http://schemas.openxmlformats.org/drawingml/2006/main">
                  <a:graphicData uri="http://schemas.microsoft.com/office/word/2010/wordprocessingShape">
                    <wps:wsp>
                      <wps:cNvCnPr/>
                      <wps:spPr>
                        <a:xfrm flipH="1">
                          <a:off x="0" y="0"/>
                          <a:ext cx="19050" cy="3200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6816C" id="Straight Connector 288" o:spid="_x0000_s1026" style="position:absolute;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75pt,73.35pt" to="230.25pt,3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" strokecolor="#5b9bd5 [3204]" strokeweight=".5pt">
                <v:stroke joinstyle="miter"/>
              </v:line>
            </w:pict>
          </mc:Fallback>
        </mc:AlternateContent>
      </w:r>
      <w:r w:rsidR="002E72F4">
        <w:rPr>
          <w:rFonts w:eastAsia="Times New Roman" w:cstheme="minorHAnsi"/>
          <w:noProof/>
          <w:lang w:val="en-US"/>
        </w:rPr>
        <mc:AlternateContent>
          <mc:Choice Requires="wps">
            <w:drawing>
              <wp:anchor distT="0" distB="0" distL="114300" distR="114300" simplePos="0" relativeHeight="251658245" behindDoc="0" locked="0" layoutInCell="1" allowOverlap="1" wp14:anchorId="1464B64D" wp14:editId="76B25C1F">
                <wp:simplePos x="0" y="0"/>
                <wp:positionH relativeFrom="column">
                  <wp:posOffset>4486275</wp:posOffset>
                </wp:positionH>
                <wp:positionV relativeFrom="paragraph">
                  <wp:posOffset>861060</wp:posOffset>
                </wp:positionV>
                <wp:extent cx="9525" cy="3267075"/>
                <wp:effectExtent l="0" t="0" r="28575" b="28575"/>
                <wp:wrapNone/>
                <wp:docPr id="29" name="Straight Connector 29"/>
                <wp:cNvGraphicFramePr/>
                <a:graphic xmlns:a="http://schemas.openxmlformats.org/drawingml/2006/main">
                  <a:graphicData uri="http://schemas.microsoft.com/office/word/2010/wordprocessingShape">
                    <wps:wsp>
                      <wps:cNvCnPr/>
                      <wps:spPr>
                        <a:xfrm>
                          <a:off x="0" y="0"/>
                          <a:ext cx="9525" cy="3267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A14BF5" id="Straight Connector 29"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25pt,67.8pt" to="354pt,3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" strokecolor="#5b9bd5 [3204]" strokeweight=".5pt">
                <v:stroke joinstyle="miter"/>
              </v:line>
            </w:pict>
          </mc:Fallback>
        </mc:AlternateContent>
      </w:r>
      <w:r w:rsidR="00005B94" w:rsidRPr="00005B94">
        <w:rPr>
          <w:rFonts w:eastAsia="Times New Roman" w:cstheme="minorHAnsi"/>
          <w:noProof/>
          <w:lang w:val="en-US"/>
        </w:rPr>
        <mc:AlternateContent>
          <mc:Choice Requires="wps">
            <w:drawing>
              <wp:anchor distT="0" distB="0" distL="114300" distR="114300" simplePos="0" relativeHeight="251658242" behindDoc="0" locked="0" layoutInCell="1" allowOverlap="1" wp14:anchorId="3384FB49" wp14:editId="0FA8FA43">
                <wp:simplePos x="0" y="0"/>
                <wp:positionH relativeFrom="column">
                  <wp:posOffset>141605</wp:posOffset>
                </wp:positionH>
                <wp:positionV relativeFrom="paragraph">
                  <wp:posOffset>4533900</wp:posOffset>
                </wp:positionV>
                <wp:extent cx="247650" cy="238125"/>
                <wp:effectExtent l="0" t="0" r="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noFill/>
                          <a:miter lim="800000"/>
                          <a:headEnd/>
                          <a:tailEnd/>
                        </a:ln>
                      </wps:spPr>
                      <wps:txbx>
                        <w:txbxContent>
                          <w:p w14:paraId="58C1CDB8" w14:textId="77777777" w:rsidR="00B465A6" w:rsidRDefault="00B465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4FB49" id="_x0000_s1038" type="#_x0000_t202" style="position:absolute;margin-left:11.15pt;margin-top:357pt;width:19.5pt;height:1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" stroked="f">
                <v:textbox>
                  <w:txbxContent>
                    <w:p w14:paraId="58C1CDB8" w14:textId="77777777" w:rsidR="00B465A6" w:rsidRDefault="00B465A6"/>
                  </w:txbxContent>
                </v:textbox>
              </v:shape>
            </w:pict>
          </mc:Fallback>
        </mc:AlternateContent>
      </w:r>
      <w:r w:rsidR="00D25E15">
        <w:rPr>
          <w:rFonts w:eastAsia="Times New Roman" w:cstheme="minorHAnsi"/>
          <w:noProof/>
          <w:lang w:val="en-US"/>
        </w:rPr>
        <w:drawing>
          <wp:inline distT="0" distB="0" distL="0" distR="0" wp14:anchorId="60958E8A" wp14:editId="62C5E76F">
            <wp:extent cx="5438775" cy="5000625"/>
            <wp:effectExtent l="0" t="0" r="9525"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D25E15" w:rsidRPr="00562B6D">
        <w:rPr>
          <w:rFonts w:eastAsia="Times New Roman" w:cstheme="minorHAnsi"/>
          <w:lang w:eastAsia="en-GB"/>
        </w:rPr>
        <w:tab/>
      </w:r>
      <w:r w:rsidR="00D25E15" w:rsidRPr="00562B6D">
        <w:rPr>
          <w:rFonts w:eastAsia="Times New Roman" w:cstheme="minorHAnsi"/>
          <w:lang w:eastAsia="en-GB"/>
        </w:rPr>
        <w:tab/>
      </w:r>
      <w:r w:rsidR="00D25E15" w:rsidRPr="00562B6D">
        <w:rPr>
          <w:rFonts w:eastAsia="Times New Roman" w:cstheme="minorHAnsi"/>
          <w:lang w:eastAsia="en-GB"/>
        </w:rPr>
        <w:tab/>
      </w:r>
      <w:r w:rsidR="00D25E15" w:rsidRPr="00562B6D">
        <w:rPr>
          <w:rFonts w:eastAsia="Times New Roman" w:cstheme="minorHAnsi"/>
          <w:lang w:eastAsia="en-GB"/>
        </w:rPr>
        <w:tab/>
      </w:r>
      <w:r w:rsidR="00D25E15" w:rsidRPr="00562B6D">
        <w:rPr>
          <w:rFonts w:eastAsia="Times New Roman" w:cstheme="minorHAnsi"/>
          <w:lang w:eastAsia="en-GB"/>
        </w:rPr>
        <w:tab/>
      </w:r>
      <w:r w:rsidR="00D25E15" w:rsidRPr="00562B6D">
        <w:rPr>
          <w:rFonts w:eastAsia="Times New Roman" w:cstheme="minorHAnsi"/>
          <w:lang w:eastAsia="en-GB"/>
        </w:rPr>
        <w:tab/>
      </w:r>
      <w:r w:rsidR="00D25E15" w:rsidRPr="00562B6D">
        <w:rPr>
          <w:rFonts w:eastAsia="Times New Roman" w:cstheme="minorHAnsi"/>
          <w:lang w:eastAsia="en-GB"/>
        </w:rPr>
        <w:tab/>
      </w:r>
      <w:r w:rsidR="00D25E15" w:rsidRPr="00562B6D">
        <w:rPr>
          <w:rFonts w:eastAsia="Times New Roman" w:cstheme="minorHAnsi"/>
          <w:lang w:eastAsia="en-GB"/>
        </w:rPr>
        <w:tab/>
      </w:r>
      <w:r w:rsidR="00D25E15" w:rsidRPr="00562B6D">
        <w:rPr>
          <w:rFonts w:eastAsia="Times New Roman" w:cstheme="minorHAnsi"/>
          <w:lang w:eastAsia="en-GB"/>
        </w:rPr>
        <w:tab/>
      </w:r>
      <w:r w:rsidR="00D25E15" w:rsidRPr="00562B6D">
        <w:rPr>
          <w:rFonts w:eastAsia="Times New Roman" w:cstheme="minorHAnsi"/>
          <w:lang w:eastAsia="en-GB"/>
        </w:rPr>
        <w:tab/>
      </w:r>
      <w:r w:rsidR="00D25E15" w:rsidRPr="00562B6D">
        <w:rPr>
          <w:rFonts w:eastAsia="Times New Roman" w:cstheme="minorHAnsi"/>
          <w:lang w:eastAsia="en-GB"/>
        </w:rPr>
        <w:tab/>
      </w:r>
      <w:r w:rsidR="00D25E15" w:rsidRPr="00562B6D">
        <w:rPr>
          <w:rFonts w:eastAsia="Times New Roman" w:cstheme="minorHAnsi"/>
          <w:lang w:eastAsia="en-GB"/>
        </w:rPr>
        <w:tab/>
      </w:r>
      <w:r w:rsidR="00D25E15" w:rsidRPr="00562B6D">
        <w:rPr>
          <w:rFonts w:eastAsia="Times New Roman" w:cstheme="minorHAnsi"/>
          <w:lang w:eastAsia="en-GB"/>
        </w:rPr>
        <w:tab/>
      </w:r>
      <w:r w:rsidR="00D25E15" w:rsidRPr="00562B6D">
        <w:rPr>
          <w:rFonts w:eastAsia="Times New Roman" w:cstheme="minorHAnsi"/>
          <w:lang w:eastAsia="en-GB"/>
        </w:rPr>
        <w:tab/>
      </w:r>
      <w:r w:rsidR="00D25E15" w:rsidRPr="00562B6D">
        <w:rPr>
          <w:rFonts w:eastAsia="Times New Roman" w:cstheme="minorHAnsi"/>
          <w:lang w:eastAsia="en-GB"/>
        </w:rPr>
        <w:tab/>
      </w:r>
      <w:r w:rsidR="00D25E15" w:rsidRPr="00562B6D">
        <w:rPr>
          <w:rFonts w:eastAsia="Times New Roman" w:cstheme="minorHAnsi"/>
          <w:lang w:eastAsia="en-GB"/>
        </w:rPr>
        <w:tab/>
      </w:r>
      <w:r w:rsidR="00D25E15" w:rsidRPr="00562B6D">
        <w:rPr>
          <w:rFonts w:eastAsia="Times New Roman" w:cstheme="minorHAnsi"/>
          <w:lang w:eastAsia="en-GB"/>
        </w:rPr>
        <w:tab/>
      </w:r>
      <w:r w:rsidR="00D25E15" w:rsidRPr="00562B6D">
        <w:rPr>
          <w:rFonts w:eastAsia="Times New Roman" w:cstheme="minorHAnsi"/>
          <w:lang w:eastAsia="en-GB"/>
        </w:rPr>
        <w:tab/>
      </w:r>
      <w:r w:rsidR="00D25E15" w:rsidRPr="00562B6D">
        <w:rPr>
          <w:rFonts w:eastAsia="Times New Roman" w:cstheme="minorHAnsi"/>
          <w:lang w:eastAsia="en-GB"/>
        </w:rPr>
        <w:tab/>
      </w:r>
    </w:p>
    <w:p w14:paraId="5047A0E0" w14:textId="77777777" w:rsidR="009A1762" w:rsidRDefault="009A1762">
      <w:pPr>
        <w:rPr>
          <w:rFonts w:eastAsia="Times New Roman" w:cstheme="minorHAnsi"/>
          <w:lang w:eastAsia="en-GB"/>
        </w:rPr>
      </w:pPr>
      <w:r>
        <w:rPr>
          <w:rFonts w:eastAsia="Times New Roman" w:cstheme="minorHAnsi"/>
          <w:lang w:eastAsia="en-GB"/>
        </w:rPr>
        <w:lastRenderedPageBreak/>
        <w:br w:type="page"/>
      </w:r>
    </w:p>
    <w:p w14:paraId="640314FA" w14:textId="77777777" w:rsidR="00626F1B" w:rsidRPr="00DD24A1" w:rsidRDefault="00626F1B" w:rsidP="00626F1B">
      <w:pPr>
        <w:spacing w:before="120" w:after="240" w:line="360" w:lineRule="auto"/>
        <w:rPr>
          <w:b/>
        </w:rPr>
      </w:pPr>
      <w:r w:rsidRPr="002D7FAB">
        <w:rPr>
          <w:b/>
        </w:rPr>
        <w:lastRenderedPageBreak/>
        <w:t>References</w:t>
      </w:r>
    </w:p>
    <w:p w14:paraId="6548A4FE" w14:textId="77777777" w:rsidR="00626F1B" w:rsidRPr="00C867DC" w:rsidRDefault="00626F1B" w:rsidP="00626F1B">
      <w:pPr>
        <w:spacing w:before="120" w:after="240" w:line="360" w:lineRule="auto"/>
        <w:ind w:left="567" w:hanging="567"/>
        <w:rPr>
          <w:rFonts w:cstheme="minorHAnsi"/>
        </w:rPr>
      </w:pPr>
      <w:r w:rsidRPr="00C867DC">
        <w:rPr>
          <w:rFonts w:cstheme="minorHAnsi"/>
        </w:rPr>
        <w:t xml:space="preserve">Alary, D., C. </w:t>
      </w:r>
      <w:proofErr w:type="spellStart"/>
      <w:r w:rsidRPr="00C867DC">
        <w:rPr>
          <w:rFonts w:cstheme="minorHAnsi"/>
        </w:rPr>
        <w:t>Gollier</w:t>
      </w:r>
      <w:proofErr w:type="spellEnd"/>
      <w:r w:rsidRPr="00C867DC">
        <w:rPr>
          <w:rFonts w:cstheme="minorHAnsi"/>
        </w:rPr>
        <w:t xml:space="preserve">, and N. </w:t>
      </w:r>
      <w:proofErr w:type="spellStart"/>
      <w:r w:rsidRPr="00C867DC">
        <w:rPr>
          <w:rFonts w:cstheme="minorHAnsi"/>
        </w:rPr>
        <w:t>Treich</w:t>
      </w:r>
      <w:proofErr w:type="spellEnd"/>
      <w:r w:rsidRPr="00C867DC">
        <w:rPr>
          <w:rFonts w:cstheme="minorHAnsi"/>
        </w:rPr>
        <w:t xml:space="preserve"> (2013): “The effect of ambiguity aversion on insurance and self-protection,” Economic Journal, 123, 1188– 1202.</w:t>
      </w:r>
    </w:p>
    <w:p w14:paraId="2EEE8CE0" w14:textId="7DBCEBEE" w:rsidR="00626F1B" w:rsidRPr="00C867DC" w:rsidRDefault="00626F1B" w:rsidP="00626F1B">
      <w:pPr>
        <w:spacing w:before="120" w:after="240" w:line="360" w:lineRule="auto"/>
        <w:ind w:left="567" w:hanging="567"/>
        <w:rPr>
          <w:rFonts w:cstheme="minorHAnsi"/>
          <w:lang w:val="en-US"/>
        </w:rPr>
      </w:pPr>
      <w:r w:rsidRPr="00C867DC">
        <w:rPr>
          <w:rFonts w:cstheme="minorHAnsi"/>
          <w:lang w:val="en-US"/>
        </w:rPr>
        <w:t xml:space="preserve">Bender, M.A., Knutson, T.R., </w:t>
      </w:r>
      <w:proofErr w:type="spellStart"/>
      <w:r w:rsidRPr="00C867DC">
        <w:rPr>
          <w:rFonts w:cstheme="minorHAnsi"/>
          <w:lang w:val="en-US"/>
        </w:rPr>
        <w:t>Tuleya</w:t>
      </w:r>
      <w:proofErr w:type="spellEnd"/>
      <w:r w:rsidRPr="00C867DC">
        <w:rPr>
          <w:rFonts w:cstheme="minorHAnsi"/>
          <w:lang w:val="en-US"/>
        </w:rPr>
        <w:t xml:space="preserve">, R.E., </w:t>
      </w:r>
      <w:proofErr w:type="spellStart"/>
      <w:r w:rsidRPr="00C867DC">
        <w:rPr>
          <w:rFonts w:cstheme="minorHAnsi"/>
          <w:lang w:val="en-US"/>
        </w:rPr>
        <w:t>Sirutis</w:t>
      </w:r>
      <w:proofErr w:type="spellEnd"/>
      <w:r w:rsidRPr="00C867DC">
        <w:rPr>
          <w:rFonts w:cstheme="minorHAnsi"/>
          <w:lang w:val="en-US"/>
        </w:rPr>
        <w:t xml:space="preserve">, J.J., </w:t>
      </w:r>
      <w:proofErr w:type="spellStart"/>
      <w:r w:rsidRPr="00C867DC">
        <w:rPr>
          <w:rFonts w:cstheme="minorHAnsi"/>
          <w:lang w:val="en-US"/>
        </w:rPr>
        <w:t>Vecchi</w:t>
      </w:r>
      <w:proofErr w:type="spellEnd"/>
      <w:r w:rsidRPr="00C867DC">
        <w:rPr>
          <w:rFonts w:cstheme="minorHAnsi"/>
          <w:lang w:val="en-US"/>
        </w:rPr>
        <w:t xml:space="preserve">, G.A., Garner, S.T., Held, I.M., (2010) “Modeled impact of anthropogenic warming on the frequency of intense Atlantic hurricanes”. </w:t>
      </w:r>
      <w:r w:rsidRPr="00C867DC">
        <w:rPr>
          <w:rFonts w:cstheme="minorHAnsi"/>
          <w:i/>
          <w:lang w:val="en-US"/>
        </w:rPr>
        <w:t>Science</w:t>
      </w:r>
      <w:r w:rsidRPr="00C867DC">
        <w:rPr>
          <w:rFonts w:cstheme="minorHAnsi"/>
          <w:lang w:val="en-US"/>
        </w:rPr>
        <w:t xml:space="preserve"> 327, 454–458.</w:t>
      </w:r>
    </w:p>
    <w:p w14:paraId="53B4168D" w14:textId="1790E23D" w:rsidR="007D5B5E" w:rsidRPr="00C867DC" w:rsidRDefault="007D5B5E" w:rsidP="00626F1B">
      <w:pPr>
        <w:spacing w:before="120" w:after="240" w:line="360" w:lineRule="auto"/>
        <w:ind w:left="567" w:hanging="567"/>
        <w:rPr>
          <w:rFonts w:cstheme="minorHAnsi"/>
          <w:lang w:val="en-US"/>
        </w:rPr>
      </w:pPr>
      <w:r w:rsidRPr="00C867DC">
        <w:rPr>
          <w:rFonts w:cstheme="minorHAnsi"/>
          <w:color w:val="141412"/>
          <w:shd w:val="clear" w:color="auto" w:fill="FFFFFF"/>
        </w:rPr>
        <w:t>Ben-Haim, Y. (2010) </w:t>
      </w:r>
      <w:r w:rsidRPr="00C867DC">
        <w:rPr>
          <w:rStyle w:val="Strong"/>
          <w:rFonts w:cstheme="minorHAnsi"/>
          <w:b w:val="0"/>
          <w:bCs w:val="0"/>
          <w:i/>
          <w:iCs/>
          <w:color w:val="141412"/>
          <w:shd w:val="clear" w:color="auto" w:fill="FFFFFF"/>
        </w:rPr>
        <w:t>Info-Gap Economics: An Operational Introduction</w:t>
      </w:r>
      <w:r w:rsidRPr="00C867DC">
        <w:rPr>
          <w:rFonts w:cstheme="minorHAnsi"/>
          <w:color w:val="141412"/>
          <w:shd w:val="clear" w:color="auto" w:fill="FFFFFF"/>
        </w:rPr>
        <w:t>, Palgrave-Macmillan</w:t>
      </w:r>
      <w:r w:rsidR="00E50D14" w:rsidRPr="00C867DC">
        <w:rPr>
          <w:rFonts w:cstheme="minorHAnsi"/>
          <w:color w:val="141412"/>
          <w:shd w:val="clear" w:color="auto" w:fill="FFFFFF"/>
        </w:rPr>
        <w:t xml:space="preserve"> UK</w:t>
      </w:r>
    </w:p>
    <w:p w14:paraId="109F36BC" w14:textId="189F6F77" w:rsidR="00626F1B" w:rsidRPr="00C867DC" w:rsidRDefault="00626F1B" w:rsidP="00626F1B">
      <w:pPr>
        <w:pStyle w:val="NormalWeb"/>
        <w:shd w:val="clear" w:color="auto" w:fill="FFFFFF"/>
        <w:spacing w:after="0" w:afterAutospacing="0" w:line="360" w:lineRule="auto"/>
        <w:ind w:left="567" w:right="75" w:hanging="567"/>
        <w:jc w:val="both"/>
        <w:rPr>
          <w:rFonts w:asciiTheme="minorHAnsi" w:hAnsiTheme="minorHAnsi" w:cstheme="minorHAnsi"/>
          <w:color w:val="000000"/>
          <w:sz w:val="22"/>
          <w:szCs w:val="22"/>
        </w:rPr>
      </w:pPr>
      <w:r w:rsidRPr="00C867DC">
        <w:rPr>
          <w:rFonts w:asciiTheme="minorHAnsi" w:hAnsiTheme="minorHAnsi" w:cstheme="minorHAnsi"/>
          <w:color w:val="000000"/>
          <w:sz w:val="22"/>
          <w:szCs w:val="22"/>
        </w:rPr>
        <w:t>Bradley, R. (2017). </w:t>
      </w:r>
      <w:r w:rsidRPr="00C867DC">
        <w:rPr>
          <w:rFonts w:asciiTheme="minorHAnsi" w:hAnsiTheme="minorHAnsi" w:cstheme="minorHAnsi"/>
          <w:i/>
          <w:iCs/>
          <w:color w:val="000000"/>
          <w:sz w:val="22"/>
          <w:szCs w:val="22"/>
        </w:rPr>
        <w:t>Decision theory with a human face</w:t>
      </w:r>
      <w:r w:rsidRPr="00C867DC">
        <w:rPr>
          <w:rFonts w:asciiTheme="minorHAnsi" w:hAnsiTheme="minorHAnsi" w:cstheme="minorHAnsi"/>
          <w:color w:val="000000"/>
          <w:sz w:val="22"/>
          <w:szCs w:val="22"/>
        </w:rPr>
        <w:t>. Cambridge: Cambridge University Press.</w:t>
      </w:r>
    </w:p>
    <w:p w14:paraId="4703771B" w14:textId="77777777" w:rsidR="00626F1B" w:rsidRPr="00C867DC" w:rsidRDefault="00626F1B" w:rsidP="00626F1B">
      <w:pPr>
        <w:spacing w:before="120" w:after="240" w:line="360" w:lineRule="auto"/>
        <w:ind w:left="567" w:hanging="567"/>
        <w:rPr>
          <w:rFonts w:cstheme="minorHAnsi"/>
        </w:rPr>
      </w:pPr>
      <w:r w:rsidRPr="00C867DC">
        <w:rPr>
          <w:rFonts w:cstheme="minorHAnsi"/>
        </w:rPr>
        <w:t xml:space="preserve">Bradley, R., C. Helgeson, and B. Hill (2017). Climate change assessments: Confidence, probability, and decision. </w:t>
      </w:r>
      <w:r w:rsidRPr="00C867DC">
        <w:rPr>
          <w:rFonts w:cstheme="minorHAnsi"/>
          <w:i/>
        </w:rPr>
        <w:t>Philosophy of Science</w:t>
      </w:r>
      <w:r w:rsidRPr="00C867DC">
        <w:rPr>
          <w:rFonts w:cstheme="minorHAnsi"/>
        </w:rPr>
        <w:t xml:space="preserve"> 84 (3), 500–522. </w:t>
      </w:r>
    </w:p>
    <w:p w14:paraId="6AFD121C" w14:textId="77777777" w:rsidR="00626F1B" w:rsidRPr="00C867DC" w:rsidRDefault="00626F1B" w:rsidP="00626F1B">
      <w:pPr>
        <w:spacing w:before="120" w:after="240" w:line="360" w:lineRule="auto"/>
        <w:ind w:left="567" w:hanging="567"/>
        <w:rPr>
          <w:rFonts w:cstheme="minorHAnsi"/>
        </w:rPr>
      </w:pPr>
      <w:proofErr w:type="spellStart"/>
      <w:r w:rsidRPr="00C867DC">
        <w:rPr>
          <w:rFonts w:cstheme="minorHAnsi"/>
        </w:rPr>
        <w:t>Cabantous</w:t>
      </w:r>
      <w:proofErr w:type="spellEnd"/>
      <w:r w:rsidRPr="00C867DC">
        <w:rPr>
          <w:rFonts w:cstheme="minorHAnsi"/>
        </w:rPr>
        <w:t>, L. (2007): “Ambiguity aversion in the field of insurance: insurers’ attitude to imprecise and conflicting probability estimates,” Theory and Decision, 62, 219–240.</w:t>
      </w:r>
    </w:p>
    <w:p w14:paraId="09ACAB12" w14:textId="77777777" w:rsidR="00626F1B" w:rsidRPr="00C867DC" w:rsidRDefault="00626F1B" w:rsidP="00626F1B">
      <w:pPr>
        <w:spacing w:before="120" w:after="240" w:line="360" w:lineRule="auto"/>
        <w:ind w:left="567" w:hanging="567"/>
        <w:rPr>
          <w:rFonts w:cstheme="minorHAnsi"/>
        </w:rPr>
      </w:pPr>
      <w:r w:rsidRPr="00C867DC">
        <w:rPr>
          <w:rFonts w:cstheme="minorHAnsi"/>
        </w:rPr>
        <w:t>Charpentier, L. (2008): “The Insurability of Climate Risks,” The Geneva Papers 33, 91–109</w:t>
      </w:r>
    </w:p>
    <w:p w14:paraId="402B7E6C" w14:textId="77777777" w:rsidR="00626F1B" w:rsidRPr="00C867DC" w:rsidRDefault="00626F1B" w:rsidP="00626F1B">
      <w:pPr>
        <w:spacing w:before="120" w:after="240" w:line="360" w:lineRule="auto"/>
        <w:ind w:left="567" w:hanging="567"/>
        <w:rPr>
          <w:rStyle w:val="Emphasis"/>
          <w:rFonts w:cstheme="minorHAnsi"/>
          <w:i w:val="0"/>
          <w:iCs w:val="0"/>
          <w:color w:val="333333"/>
        </w:rPr>
      </w:pPr>
      <w:r w:rsidRPr="00C867DC">
        <w:rPr>
          <w:rFonts w:cstheme="minorHAnsi"/>
          <w:shd w:val="clear" w:color="auto" w:fill="FFFFFF"/>
        </w:rPr>
        <w:t xml:space="preserve">Dietz, </w:t>
      </w:r>
      <w:proofErr w:type="gramStart"/>
      <w:r w:rsidRPr="00C867DC">
        <w:rPr>
          <w:rFonts w:cstheme="minorHAnsi"/>
          <w:shd w:val="clear" w:color="auto" w:fill="FFFFFF"/>
        </w:rPr>
        <w:t>S.</w:t>
      </w:r>
      <w:proofErr w:type="gramEnd"/>
      <w:r w:rsidRPr="00C867DC">
        <w:rPr>
          <w:rFonts w:cstheme="minorHAnsi"/>
          <w:shd w:val="clear" w:color="auto" w:fill="FFFFFF"/>
        </w:rPr>
        <w:t xml:space="preserve"> and O. Walker (2017) </w:t>
      </w:r>
      <w:r w:rsidRPr="00C867DC">
        <w:rPr>
          <w:rFonts w:cstheme="minorHAnsi"/>
          <w:color w:val="333333"/>
        </w:rPr>
        <w:t xml:space="preserve">“Ambiguity and insurance: capital requirements and premiums”, </w:t>
      </w:r>
      <w:r w:rsidRPr="00C867DC">
        <w:rPr>
          <w:rStyle w:val="Emphasis"/>
          <w:rFonts w:cstheme="minorHAnsi"/>
          <w:color w:val="333333"/>
        </w:rPr>
        <w:t>Journal of Risk and Insurance</w:t>
      </w:r>
      <w:r w:rsidRPr="00C867DC">
        <w:rPr>
          <w:rStyle w:val="Emphasis"/>
          <w:rFonts w:cstheme="minorHAnsi"/>
          <w:i w:val="0"/>
          <w:iCs w:val="0"/>
          <w:color w:val="333333"/>
        </w:rPr>
        <w:t xml:space="preserve"> 86(1), 213-235</w:t>
      </w:r>
    </w:p>
    <w:p w14:paraId="5F9DC781" w14:textId="77777777" w:rsidR="00626F1B" w:rsidRPr="00C867DC" w:rsidRDefault="00626F1B" w:rsidP="00626F1B">
      <w:pPr>
        <w:spacing w:before="120" w:after="240" w:line="360" w:lineRule="auto"/>
        <w:ind w:left="567" w:hanging="567"/>
        <w:rPr>
          <w:rFonts w:cstheme="minorHAnsi"/>
          <w:shd w:val="clear" w:color="auto" w:fill="FFFFFF"/>
        </w:rPr>
      </w:pPr>
      <w:r w:rsidRPr="00C867DC">
        <w:rPr>
          <w:rFonts w:cstheme="minorHAnsi"/>
        </w:rPr>
        <w:t xml:space="preserve">Ellsberg, D. (1961). Risk, Ambiguity, and the Savage Axioms. </w:t>
      </w:r>
      <w:r w:rsidRPr="00C867DC">
        <w:rPr>
          <w:rFonts w:cstheme="minorHAnsi"/>
          <w:i/>
          <w:iCs/>
        </w:rPr>
        <w:t>Quarterly Journal of Economics</w:t>
      </w:r>
      <w:r w:rsidRPr="00C867DC">
        <w:rPr>
          <w:rFonts w:cstheme="minorHAnsi"/>
        </w:rPr>
        <w:t>, 75(4), 643-669.</w:t>
      </w:r>
    </w:p>
    <w:p w14:paraId="42FB8AA3" w14:textId="77777777" w:rsidR="00626F1B" w:rsidRPr="00C867DC" w:rsidRDefault="00626F1B" w:rsidP="00626F1B">
      <w:pPr>
        <w:spacing w:before="120" w:after="240" w:line="360" w:lineRule="auto"/>
        <w:ind w:left="567" w:hanging="567"/>
        <w:rPr>
          <w:rFonts w:cstheme="minorHAnsi"/>
        </w:rPr>
      </w:pPr>
      <w:r w:rsidRPr="00C867DC">
        <w:rPr>
          <w:rFonts w:cstheme="minorHAnsi"/>
          <w:shd w:val="clear" w:color="auto" w:fill="FFFFFF"/>
        </w:rPr>
        <w:lastRenderedPageBreak/>
        <w:t xml:space="preserve"> </w:t>
      </w:r>
      <w:proofErr w:type="spellStart"/>
      <w:r w:rsidRPr="00C867DC">
        <w:rPr>
          <w:rFonts w:cstheme="minorHAnsi"/>
        </w:rPr>
        <w:t>Gärdenfors</w:t>
      </w:r>
      <w:proofErr w:type="spellEnd"/>
      <w:r w:rsidRPr="00C867DC">
        <w:rPr>
          <w:rFonts w:cstheme="minorHAnsi"/>
        </w:rPr>
        <w:t xml:space="preserve">, Peter and Nils-Eric </w:t>
      </w:r>
      <w:proofErr w:type="spellStart"/>
      <w:r w:rsidRPr="00C867DC">
        <w:rPr>
          <w:rFonts w:cstheme="minorHAnsi"/>
        </w:rPr>
        <w:t>Sahlin</w:t>
      </w:r>
      <w:proofErr w:type="spellEnd"/>
      <w:r w:rsidRPr="00C867DC">
        <w:rPr>
          <w:rFonts w:cstheme="minorHAnsi"/>
        </w:rPr>
        <w:t xml:space="preserve"> ([1982] 1988), "Unreliable probabilities, risk taking, and decision making", pp. 313-334 in </w:t>
      </w:r>
      <w:proofErr w:type="spellStart"/>
      <w:r w:rsidRPr="00C867DC">
        <w:rPr>
          <w:rFonts w:cstheme="minorHAnsi"/>
        </w:rPr>
        <w:t>Gärdenfors</w:t>
      </w:r>
      <w:proofErr w:type="spellEnd"/>
      <w:r w:rsidRPr="00C867DC">
        <w:rPr>
          <w:rFonts w:cstheme="minorHAnsi"/>
        </w:rPr>
        <w:t xml:space="preserve">, Peter and Nils-Eric </w:t>
      </w:r>
      <w:proofErr w:type="spellStart"/>
      <w:r w:rsidRPr="00C867DC">
        <w:rPr>
          <w:rFonts w:cstheme="minorHAnsi"/>
        </w:rPr>
        <w:t>Sahlin</w:t>
      </w:r>
      <w:proofErr w:type="spellEnd"/>
      <w:r w:rsidRPr="00C867DC">
        <w:rPr>
          <w:rFonts w:cstheme="minorHAnsi"/>
        </w:rPr>
        <w:t>, eds. (1988), Decision, probability, and utility.</w:t>
      </w:r>
    </w:p>
    <w:p w14:paraId="470262D6" w14:textId="77777777" w:rsidR="00626F1B" w:rsidRPr="00C867DC" w:rsidRDefault="00626F1B" w:rsidP="00626F1B">
      <w:pPr>
        <w:spacing w:before="120" w:after="240" w:line="360" w:lineRule="auto"/>
        <w:ind w:left="567" w:hanging="567"/>
        <w:rPr>
          <w:rFonts w:cstheme="minorHAnsi"/>
          <w:shd w:val="clear" w:color="auto" w:fill="FFFFFF"/>
        </w:rPr>
      </w:pPr>
      <w:r w:rsidRPr="00C867DC">
        <w:rPr>
          <w:rFonts w:cstheme="minorHAnsi"/>
          <w:shd w:val="clear" w:color="auto" w:fill="FFFFFF"/>
        </w:rPr>
        <w:t>Gilboa, I. and M. Marinacci, “</w:t>
      </w:r>
      <w:hyperlink r:id="rId9" w:history="1">
        <w:r w:rsidRPr="00C867DC">
          <w:rPr>
            <w:rStyle w:val="Hyperlink"/>
            <w:rFonts w:cstheme="minorHAnsi"/>
            <w:color w:val="auto"/>
            <w:shd w:val="clear" w:color="auto" w:fill="FFFFFF"/>
          </w:rPr>
          <w:t>Ambiguity and the Bayesian Paradigm</w:t>
        </w:r>
      </w:hyperlink>
      <w:r w:rsidRPr="00C867DC">
        <w:rPr>
          <w:rFonts w:cstheme="minorHAnsi"/>
          <w:shd w:val="clear" w:color="auto" w:fill="FFFFFF"/>
        </w:rPr>
        <w:t xml:space="preserve">”, Advances in Economics and Econometrics: Theory and Applications, Tenth World Congress of the Econometric Society.  D. Acemoglu, M. Arellano, and E. </w:t>
      </w:r>
      <w:proofErr w:type="spellStart"/>
      <w:r w:rsidRPr="00C867DC">
        <w:rPr>
          <w:rFonts w:cstheme="minorHAnsi"/>
          <w:shd w:val="clear" w:color="auto" w:fill="FFFFFF"/>
        </w:rPr>
        <w:t>Dekel</w:t>
      </w:r>
      <w:proofErr w:type="spellEnd"/>
      <w:r w:rsidRPr="00C867DC">
        <w:rPr>
          <w:rFonts w:cstheme="minorHAnsi"/>
          <w:shd w:val="clear" w:color="auto" w:fill="FFFFFF"/>
        </w:rPr>
        <w:t xml:space="preserve"> (Eds.).  New York: Cambridge University Press, 2013. </w:t>
      </w:r>
      <w:r w:rsidRPr="00C867DC">
        <w:rPr>
          <w:rFonts w:cstheme="minorHAnsi"/>
          <w:color w:val="000000"/>
          <w:lang w:val="en-US"/>
        </w:rPr>
        <w:t xml:space="preserve"> </w:t>
      </w:r>
    </w:p>
    <w:p w14:paraId="41967A7E" w14:textId="77777777" w:rsidR="00626F1B" w:rsidRPr="00C867DC" w:rsidRDefault="00626F1B" w:rsidP="00626F1B">
      <w:pPr>
        <w:autoSpaceDE w:val="0"/>
        <w:autoSpaceDN w:val="0"/>
        <w:adjustRightInd w:val="0"/>
        <w:spacing w:before="120" w:after="240" w:line="360" w:lineRule="auto"/>
        <w:ind w:left="567" w:hanging="567"/>
        <w:rPr>
          <w:rFonts w:cstheme="minorHAnsi"/>
          <w:color w:val="000000"/>
          <w:lang w:val="en-US"/>
        </w:rPr>
      </w:pPr>
      <w:r w:rsidRPr="00C867DC">
        <w:rPr>
          <w:rFonts w:cstheme="minorHAnsi"/>
          <w:color w:val="000000"/>
          <w:lang w:val="en-US"/>
        </w:rPr>
        <w:t>Gilboa, I. and D. Schmeidler (1989). “</w:t>
      </w:r>
      <w:proofErr w:type="spellStart"/>
      <w:r w:rsidRPr="00C867DC">
        <w:rPr>
          <w:rFonts w:cstheme="minorHAnsi"/>
          <w:color w:val="000000"/>
          <w:lang w:val="en-US"/>
        </w:rPr>
        <w:t>Maxmin</w:t>
      </w:r>
      <w:proofErr w:type="spellEnd"/>
      <w:r w:rsidRPr="00C867DC">
        <w:rPr>
          <w:rFonts w:cstheme="minorHAnsi"/>
          <w:color w:val="000000"/>
          <w:lang w:val="en-US"/>
        </w:rPr>
        <w:t xml:space="preserve"> Expected Utility with Non-Unique Prior.” </w:t>
      </w:r>
      <w:r w:rsidRPr="00C867DC">
        <w:rPr>
          <w:rFonts w:cstheme="minorHAnsi"/>
          <w:i/>
          <w:iCs/>
          <w:color w:val="000000"/>
          <w:lang w:val="en-US"/>
        </w:rPr>
        <w:t xml:space="preserve">Journal of Mathematical Economics </w:t>
      </w:r>
      <w:r w:rsidRPr="00C867DC">
        <w:rPr>
          <w:rFonts w:cstheme="minorHAnsi"/>
          <w:color w:val="000000"/>
          <w:lang w:val="en-US"/>
        </w:rPr>
        <w:t xml:space="preserve">18 (2): 141–53. </w:t>
      </w:r>
    </w:p>
    <w:p w14:paraId="44E609F1" w14:textId="77777777" w:rsidR="00626F1B" w:rsidRPr="00C867DC" w:rsidRDefault="00626F1B" w:rsidP="00626F1B">
      <w:pPr>
        <w:spacing w:before="120" w:after="240" w:line="360" w:lineRule="auto"/>
        <w:ind w:left="567" w:hanging="567"/>
        <w:rPr>
          <w:rFonts w:cstheme="minorHAnsi"/>
        </w:rPr>
      </w:pPr>
      <w:proofErr w:type="spellStart"/>
      <w:r w:rsidRPr="00C867DC">
        <w:rPr>
          <w:rFonts w:cstheme="minorHAnsi"/>
        </w:rPr>
        <w:t>Gollier</w:t>
      </w:r>
      <w:proofErr w:type="spellEnd"/>
      <w:r w:rsidRPr="00C867DC">
        <w:rPr>
          <w:rFonts w:cstheme="minorHAnsi"/>
        </w:rPr>
        <w:t>, C. (2014): “Optimal insurance design of ambiguous risks,” Economic Theory, 57, 555–576.</w:t>
      </w:r>
    </w:p>
    <w:p w14:paraId="4818380B" w14:textId="77777777" w:rsidR="00626F1B" w:rsidRPr="00C867DC" w:rsidRDefault="00626F1B" w:rsidP="00626F1B">
      <w:pPr>
        <w:spacing w:before="120" w:after="240" w:line="360" w:lineRule="auto"/>
        <w:ind w:left="567" w:hanging="567"/>
        <w:rPr>
          <w:rFonts w:cstheme="minorHAnsi"/>
        </w:rPr>
      </w:pPr>
      <w:proofErr w:type="spellStart"/>
      <w:r w:rsidRPr="00C867DC">
        <w:rPr>
          <w:rFonts w:cstheme="minorHAnsi"/>
        </w:rPr>
        <w:t>Guin</w:t>
      </w:r>
      <w:proofErr w:type="spellEnd"/>
      <w:r w:rsidRPr="00C867DC">
        <w:rPr>
          <w:rFonts w:cstheme="minorHAnsi"/>
        </w:rPr>
        <w:t>, J. (2010). “Understanding Uncertainty.” AIR Worldwide Blog. 2010. http://www.air-worldwide.com/Publications/AIR-Currents/2010/Understanding-Uncertainty/.</w:t>
      </w:r>
    </w:p>
    <w:p w14:paraId="642AE180" w14:textId="77777777" w:rsidR="00626F1B" w:rsidRPr="00C867DC" w:rsidRDefault="00626F1B" w:rsidP="00626F1B">
      <w:pPr>
        <w:autoSpaceDE w:val="0"/>
        <w:autoSpaceDN w:val="0"/>
        <w:adjustRightInd w:val="0"/>
        <w:spacing w:before="120" w:after="240" w:line="360" w:lineRule="auto"/>
        <w:ind w:left="567" w:hanging="567"/>
        <w:rPr>
          <w:rFonts w:cstheme="minorHAnsi"/>
          <w:color w:val="000000"/>
          <w:lang w:val="en-US"/>
        </w:rPr>
      </w:pPr>
      <w:r w:rsidRPr="00C867DC">
        <w:rPr>
          <w:rFonts w:cstheme="minorHAnsi"/>
          <w:color w:val="000000"/>
          <w:lang w:val="en-US"/>
        </w:rPr>
        <w:t xml:space="preserve">Hansen, L. P., and T. J. Sargent (1982). </w:t>
      </w:r>
      <w:r w:rsidRPr="00C867DC">
        <w:rPr>
          <w:rFonts w:cstheme="minorHAnsi"/>
          <w:i/>
          <w:iCs/>
          <w:color w:val="000000"/>
          <w:lang w:val="en-US"/>
        </w:rPr>
        <w:t>Robustness</w:t>
      </w:r>
      <w:r w:rsidRPr="00C867DC">
        <w:rPr>
          <w:rFonts w:cstheme="minorHAnsi"/>
          <w:color w:val="000000"/>
          <w:lang w:val="en-US"/>
        </w:rPr>
        <w:t xml:space="preserve">. Princeton: Princeton University Press. </w:t>
      </w:r>
    </w:p>
    <w:p w14:paraId="5C19CDBB" w14:textId="77777777" w:rsidR="00626F1B" w:rsidRPr="00C867DC" w:rsidRDefault="00626F1B" w:rsidP="00626F1B">
      <w:pPr>
        <w:autoSpaceDE w:val="0"/>
        <w:autoSpaceDN w:val="0"/>
        <w:adjustRightInd w:val="0"/>
        <w:spacing w:before="120" w:after="240" w:line="360" w:lineRule="auto"/>
        <w:ind w:left="567" w:hanging="567"/>
        <w:rPr>
          <w:rFonts w:cstheme="minorHAnsi"/>
          <w:color w:val="000000"/>
          <w:lang w:val="en-US"/>
        </w:rPr>
      </w:pPr>
      <w:r w:rsidRPr="00C867DC">
        <w:rPr>
          <w:rFonts w:cstheme="minorHAnsi"/>
          <w:color w:val="000000"/>
          <w:lang w:val="en-US"/>
        </w:rPr>
        <w:t xml:space="preserve">Heal, G. and A. Milner (2014). “Uncertainty and Decision Making in Climate Change Economics.” </w:t>
      </w:r>
      <w:r w:rsidRPr="00C867DC">
        <w:rPr>
          <w:rFonts w:cstheme="minorHAnsi"/>
          <w:i/>
          <w:iCs/>
          <w:color w:val="000000"/>
          <w:lang w:val="en-US"/>
        </w:rPr>
        <w:t xml:space="preserve">Review of Environmental Economics and Policy </w:t>
      </w:r>
      <w:r w:rsidRPr="00C867DC">
        <w:rPr>
          <w:rFonts w:cstheme="minorHAnsi"/>
          <w:color w:val="000000"/>
          <w:lang w:val="en-US"/>
        </w:rPr>
        <w:t xml:space="preserve">8: 120–37. </w:t>
      </w:r>
    </w:p>
    <w:p w14:paraId="64F65DCA" w14:textId="77777777" w:rsidR="00626F1B" w:rsidRPr="00C867DC" w:rsidRDefault="00626F1B" w:rsidP="00626F1B">
      <w:pPr>
        <w:autoSpaceDE w:val="0"/>
        <w:autoSpaceDN w:val="0"/>
        <w:adjustRightInd w:val="0"/>
        <w:spacing w:before="120" w:after="240" w:line="360" w:lineRule="auto"/>
        <w:ind w:left="567" w:hanging="567"/>
        <w:rPr>
          <w:rFonts w:cstheme="minorHAnsi"/>
          <w:color w:val="000000"/>
          <w:lang w:val="en-US"/>
        </w:rPr>
      </w:pPr>
      <w:r w:rsidRPr="00C867DC">
        <w:rPr>
          <w:rFonts w:cstheme="minorHAnsi"/>
          <w:color w:val="000000"/>
          <w:lang w:val="en-US"/>
        </w:rPr>
        <w:t xml:space="preserve">Hill, B. (2013). “Confidence and Decision.” </w:t>
      </w:r>
      <w:r w:rsidRPr="00C867DC">
        <w:rPr>
          <w:rFonts w:cstheme="minorHAnsi"/>
          <w:i/>
          <w:iCs/>
          <w:color w:val="000000"/>
          <w:lang w:val="en-US"/>
        </w:rPr>
        <w:t xml:space="preserve">Games and Economic Behavior </w:t>
      </w:r>
      <w:r w:rsidRPr="00C867DC">
        <w:rPr>
          <w:rFonts w:cstheme="minorHAnsi"/>
          <w:color w:val="000000"/>
          <w:lang w:val="en-US"/>
        </w:rPr>
        <w:t xml:space="preserve">82: 675–92. </w:t>
      </w:r>
    </w:p>
    <w:p w14:paraId="5A790CEF" w14:textId="77777777" w:rsidR="00626F1B" w:rsidRPr="00C867DC" w:rsidRDefault="00626F1B" w:rsidP="00626F1B">
      <w:pPr>
        <w:autoSpaceDE w:val="0"/>
        <w:autoSpaceDN w:val="0"/>
        <w:adjustRightInd w:val="0"/>
        <w:spacing w:before="120" w:after="240" w:line="360" w:lineRule="auto"/>
        <w:ind w:left="567" w:hanging="567"/>
        <w:rPr>
          <w:rFonts w:cstheme="minorHAnsi"/>
          <w:lang w:val="en-US"/>
        </w:rPr>
      </w:pPr>
      <w:r w:rsidRPr="00C867DC">
        <w:rPr>
          <w:rFonts w:cstheme="minorHAnsi"/>
          <w:color w:val="000000"/>
          <w:lang w:val="en-US"/>
        </w:rPr>
        <w:t xml:space="preserve">Hill, B. (2019). “Confidence in Beliefs and Rational Decision Making.” </w:t>
      </w:r>
      <w:r w:rsidRPr="00C867DC">
        <w:rPr>
          <w:rFonts w:cstheme="minorHAnsi"/>
          <w:i/>
          <w:iCs/>
          <w:color w:val="000000"/>
          <w:lang w:val="en-US"/>
        </w:rPr>
        <w:t xml:space="preserve">Economics and Philosophy </w:t>
      </w:r>
      <w:r w:rsidRPr="00C867DC">
        <w:rPr>
          <w:rFonts w:cstheme="minorHAnsi"/>
          <w:color w:val="000000"/>
          <w:lang w:val="en-US"/>
        </w:rPr>
        <w:t>35 (2): 223–58.</w:t>
      </w:r>
    </w:p>
    <w:p w14:paraId="70F22502" w14:textId="77777777" w:rsidR="00626F1B" w:rsidRPr="00C867DC" w:rsidRDefault="00626F1B" w:rsidP="00626F1B">
      <w:pPr>
        <w:autoSpaceDE w:val="0"/>
        <w:autoSpaceDN w:val="0"/>
        <w:adjustRightInd w:val="0"/>
        <w:spacing w:before="120" w:after="240" w:line="360" w:lineRule="auto"/>
        <w:ind w:left="567" w:hanging="567"/>
        <w:rPr>
          <w:rFonts w:cstheme="minorHAnsi"/>
        </w:rPr>
      </w:pPr>
      <w:r w:rsidRPr="00C867DC">
        <w:rPr>
          <w:rFonts w:cstheme="minorHAnsi"/>
        </w:rPr>
        <w:t xml:space="preserve">Keynes, J. M. (1973/1921). A treatise on probability. In </w:t>
      </w:r>
      <w:r w:rsidRPr="00C867DC">
        <w:rPr>
          <w:rFonts w:cstheme="minorHAnsi"/>
          <w:i/>
        </w:rPr>
        <w:t xml:space="preserve">The Collected Writings of John Maynard Keynes, </w:t>
      </w:r>
      <w:r w:rsidRPr="00C867DC">
        <w:rPr>
          <w:rFonts w:cstheme="minorHAnsi"/>
        </w:rPr>
        <w:t>Volume 8. London: Macmillan</w:t>
      </w:r>
    </w:p>
    <w:p w14:paraId="1482A50E" w14:textId="77777777" w:rsidR="00626F1B" w:rsidRPr="00C867DC" w:rsidRDefault="00626F1B" w:rsidP="00626F1B">
      <w:pPr>
        <w:autoSpaceDE w:val="0"/>
        <w:autoSpaceDN w:val="0"/>
        <w:adjustRightInd w:val="0"/>
        <w:spacing w:before="120" w:after="240" w:line="360" w:lineRule="auto"/>
        <w:ind w:left="567" w:hanging="567"/>
        <w:rPr>
          <w:rFonts w:cstheme="minorHAnsi"/>
          <w:lang w:val="en-US"/>
        </w:rPr>
      </w:pPr>
      <w:r w:rsidRPr="00C867DC">
        <w:rPr>
          <w:rFonts w:cstheme="minorHAnsi"/>
          <w:color w:val="131413"/>
          <w:lang w:val="en-US"/>
        </w:rPr>
        <w:lastRenderedPageBreak/>
        <w:t xml:space="preserve">Klibanoff P., Marinacci </w:t>
      </w:r>
      <w:proofErr w:type="gramStart"/>
      <w:r w:rsidRPr="00C867DC">
        <w:rPr>
          <w:rFonts w:cstheme="minorHAnsi"/>
          <w:color w:val="131413"/>
          <w:lang w:val="en-US"/>
        </w:rPr>
        <w:t>M.</w:t>
      </w:r>
      <w:proofErr w:type="gramEnd"/>
      <w:r w:rsidRPr="00C867DC">
        <w:rPr>
          <w:rFonts w:cstheme="minorHAnsi"/>
          <w:color w:val="131413"/>
          <w:lang w:val="en-US"/>
        </w:rPr>
        <w:t xml:space="preserve"> and Mukerji S. (2005) A smooth model of decision making under ambiguity. </w:t>
      </w:r>
      <w:r w:rsidRPr="00C867DC">
        <w:rPr>
          <w:rFonts w:cstheme="minorHAnsi"/>
          <w:i/>
          <w:color w:val="131413"/>
          <w:lang w:val="en-US"/>
        </w:rPr>
        <w:t>Econometrica</w:t>
      </w:r>
      <w:r w:rsidRPr="00C867DC">
        <w:rPr>
          <w:rFonts w:cstheme="minorHAnsi"/>
          <w:lang w:val="en-US"/>
        </w:rPr>
        <w:t xml:space="preserve"> </w:t>
      </w:r>
      <w:r w:rsidRPr="00C867DC">
        <w:rPr>
          <w:rFonts w:cstheme="minorHAnsi"/>
          <w:color w:val="131413"/>
          <w:lang w:val="en-US"/>
        </w:rPr>
        <w:t>73(6):1849–1892</w:t>
      </w:r>
    </w:p>
    <w:p w14:paraId="7302D024" w14:textId="77777777" w:rsidR="00626F1B" w:rsidRPr="00C867DC" w:rsidRDefault="00626F1B" w:rsidP="00626F1B">
      <w:pPr>
        <w:spacing w:before="120" w:after="240" w:line="360" w:lineRule="auto"/>
        <w:ind w:left="567" w:hanging="567"/>
        <w:rPr>
          <w:rFonts w:cstheme="minorHAnsi"/>
        </w:rPr>
      </w:pPr>
      <w:r w:rsidRPr="00C867DC">
        <w:rPr>
          <w:rFonts w:cstheme="minorHAnsi"/>
        </w:rPr>
        <w:t xml:space="preserve">Kreps, R. (1990). "Reinsurer Risk Loads </w:t>
      </w:r>
      <w:proofErr w:type="gramStart"/>
      <w:r w:rsidRPr="00C867DC">
        <w:rPr>
          <w:rFonts w:cstheme="minorHAnsi"/>
        </w:rPr>
        <w:t>From</w:t>
      </w:r>
      <w:proofErr w:type="gramEnd"/>
      <w:r w:rsidRPr="00C867DC">
        <w:rPr>
          <w:rFonts w:cstheme="minorHAnsi"/>
        </w:rPr>
        <w:t xml:space="preserve"> Marginal Surplus Requirements," </w:t>
      </w:r>
      <w:r w:rsidRPr="00C867DC">
        <w:rPr>
          <w:rFonts w:cstheme="minorHAnsi"/>
          <w:i/>
        </w:rPr>
        <w:t>Proceedings of the Casualty Actuarial Society</w:t>
      </w:r>
      <w:r w:rsidRPr="00C867DC">
        <w:rPr>
          <w:rFonts w:cstheme="minorHAnsi"/>
        </w:rPr>
        <w:t>, 76, 196-203.</w:t>
      </w:r>
    </w:p>
    <w:p w14:paraId="4DF7EEE9" w14:textId="77777777" w:rsidR="00626F1B" w:rsidRPr="00C867DC" w:rsidRDefault="00626F1B" w:rsidP="00626F1B">
      <w:pPr>
        <w:spacing w:before="120" w:after="240" w:line="360" w:lineRule="auto"/>
        <w:ind w:left="567" w:hanging="567"/>
        <w:rPr>
          <w:rFonts w:cstheme="minorHAnsi"/>
        </w:rPr>
      </w:pPr>
      <w:r w:rsidRPr="00C867DC">
        <w:rPr>
          <w:rFonts w:cstheme="minorHAnsi"/>
        </w:rPr>
        <w:t>Joyce, J. (2005). How probabilities reflect evidence. Philosophical Perspectives, 19(1), 153-178</w:t>
      </w:r>
    </w:p>
    <w:p w14:paraId="3B9547F9" w14:textId="77777777" w:rsidR="00626F1B" w:rsidRPr="00C867DC" w:rsidRDefault="00626F1B" w:rsidP="00626F1B">
      <w:pPr>
        <w:spacing w:before="120" w:after="240" w:line="360" w:lineRule="auto"/>
        <w:ind w:left="567" w:hanging="567"/>
        <w:rPr>
          <w:rFonts w:cstheme="minorHAnsi"/>
        </w:rPr>
      </w:pPr>
      <w:proofErr w:type="spellStart"/>
      <w:proofErr w:type="gramStart"/>
      <w:r w:rsidRPr="00C867DC">
        <w:rPr>
          <w:rFonts w:cstheme="minorHAnsi"/>
        </w:rPr>
        <w:t>Knutson,T.R</w:t>
      </w:r>
      <w:proofErr w:type="spellEnd"/>
      <w:r w:rsidRPr="00C867DC">
        <w:rPr>
          <w:rFonts w:cstheme="minorHAnsi"/>
        </w:rPr>
        <w:t>.</w:t>
      </w:r>
      <w:proofErr w:type="gramEnd"/>
      <w:r w:rsidRPr="00C867DC">
        <w:rPr>
          <w:rFonts w:cstheme="minorHAnsi"/>
        </w:rPr>
        <w:t xml:space="preserve">, </w:t>
      </w:r>
      <w:proofErr w:type="spellStart"/>
      <w:r w:rsidRPr="00C867DC">
        <w:rPr>
          <w:rFonts w:cstheme="minorHAnsi"/>
        </w:rPr>
        <w:t>McBride,J.L</w:t>
      </w:r>
      <w:proofErr w:type="spellEnd"/>
      <w:r w:rsidRPr="00C867DC">
        <w:rPr>
          <w:rFonts w:cstheme="minorHAnsi"/>
        </w:rPr>
        <w:t xml:space="preserve">., </w:t>
      </w:r>
      <w:proofErr w:type="spellStart"/>
      <w:r w:rsidRPr="00C867DC">
        <w:rPr>
          <w:rFonts w:cstheme="minorHAnsi"/>
        </w:rPr>
        <w:t>Chan,J</w:t>
      </w:r>
      <w:proofErr w:type="spellEnd"/>
      <w:r w:rsidRPr="00C867DC">
        <w:rPr>
          <w:rFonts w:cstheme="minorHAnsi"/>
        </w:rPr>
        <w:t xml:space="preserve">., </w:t>
      </w:r>
      <w:proofErr w:type="spellStart"/>
      <w:r w:rsidRPr="00C867DC">
        <w:rPr>
          <w:rFonts w:cstheme="minorHAnsi"/>
        </w:rPr>
        <w:t>Emanuel,K</w:t>
      </w:r>
      <w:proofErr w:type="spellEnd"/>
      <w:r w:rsidRPr="00C867DC">
        <w:rPr>
          <w:rFonts w:cstheme="minorHAnsi"/>
        </w:rPr>
        <w:t>., Holland,G.,</w:t>
      </w:r>
      <w:proofErr w:type="spellStart"/>
      <w:r w:rsidRPr="00C867DC">
        <w:rPr>
          <w:rFonts w:cstheme="minorHAnsi"/>
        </w:rPr>
        <w:t>Landsea,C</w:t>
      </w:r>
      <w:proofErr w:type="spellEnd"/>
      <w:r w:rsidRPr="00C867DC">
        <w:rPr>
          <w:rFonts w:cstheme="minorHAnsi"/>
        </w:rPr>
        <w:t xml:space="preserve">., </w:t>
      </w:r>
      <w:proofErr w:type="spellStart"/>
      <w:r w:rsidRPr="00C867DC">
        <w:rPr>
          <w:rFonts w:cstheme="minorHAnsi"/>
        </w:rPr>
        <w:t>Held,I</w:t>
      </w:r>
      <w:proofErr w:type="spellEnd"/>
      <w:r w:rsidRPr="00C867DC">
        <w:rPr>
          <w:rFonts w:cstheme="minorHAnsi"/>
        </w:rPr>
        <w:t xml:space="preserve">., </w:t>
      </w:r>
      <w:proofErr w:type="spellStart"/>
      <w:r w:rsidRPr="00C867DC">
        <w:rPr>
          <w:rFonts w:cstheme="minorHAnsi"/>
        </w:rPr>
        <w:t>Kossin,J.P</w:t>
      </w:r>
      <w:proofErr w:type="spellEnd"/>
      <w:r w:rsidRPr="00C867DC">
        <w:rPr>
          <w:rFonts w:cstheme="minorHAnsi"/>
        </w:rPr>
        <w:t xml:space="preserve">., </w:t>
      </w:r>
      <w:proofErr w:type="spellStart"/>
      <w:r w:rsidRPr="00C867DC">
        <w:rPr>
          <w:rFonts w:cstheme="minorHAnsi"/>
        </w:rPr>
        <w:t>Srivastava,A.K</w:t>
      </w:r>
      <w:proofErr w:type="spellEnd"/>
      <w:r w:rsidRPr="00C867DC">
        <w:rPr>
          <w:rFonts w:cstheme="minorHAnsi"/>
        </w:rPr>
        <w:t xml:space="preserve">., </w:t>
      </w:r>
      <w:proofErr w:type="spellStart"/>
      <w:r w:rsidRPr="00C867DC">
        <w:rPr>
          <w:rFonts w:cstheme="minorHAnsi"/>
        </w:rPr>
        <w:t>Sugi,M</w:t>
      </w:r>
      <w:proofErr w:type="spellEnd"/>
      <w:r w:rsidRPr="00C867DC">
        <w:rPr>
          <w:rFonts w:cstheme="minorHAnsi"/>
        </w:rPr>
        <w:t xml:space="preserve">., (2010). “Tropical cyclones and climate change”. </w:t>
      </w:r>
      <w:r w:rsidRPr="00C867DC">
        <w:rPr>
          <w:rFonts w:cstheme="minorHAnsi"/>
          <w:i/>
        </w:rPr>
        <w:t xml:space="preserve">Nature Geoscience </w:t>
      </w:r>
      <w:r w:rsidRPr="00C867DC">
        <w:rPr>
          <w:rFonts w:cstheme="minorHAnsi"/>
        </w:rPr>
        <w:t>3, 157–163</w:t>
      </w:r>
    </w:p>
    <w:p w14:paraId="68F6E170" w14:textId="77777777" w:rsidR="00626F1B" w:rsidRPr="00C867DC" w:rsidRDefault="00626F1B" w:rsidP="00626F1B">
      <w:pPr>
        <w:spacing w:before="120" w:after="240" w:line="360" w:lineRule="auto"/>
        <w:ind w:left="567" w:hanging="567"/>
        <w:rPr>
          <w:rFonts w:cstheme="minorHAnsi"/>
        </w:rPr>
      </w:pPr>
      <w:proofErr w:type="spellStart"/>
      <w:r w:rsidRPr="00C867DC">
        <w:rPr>
          <w:rFonts w:cstheme="minorHAnsi"/>
        </w:rPr>
        <w:t>Kunreuther</w:t>
      </w:r>
      <w:proofErr w:type="spellEnd"/>
      <w:r w:rsidRPr="00C867DC">
        <w:rPr>
          <w:rFonts w:cstheme="minorHAnsi"/>
        </w:rPr>
        <w:t xml:space="preserve">, H., R. Hogarth, and J. </w:t>
      </w:r>
      <w:proofErr w:type="spellStart"/>
      <w:r w:rsidRPr="00C867DC">
        <w:rPr>
          <w:rFonts w:cstheme="minorHAnsi"/>
        </w:rPr>
        <w:t>Meszaros</w:t>
      </w:r>
      <w:proofErr w:type="spellEnd"/>
      <w:r w:rsidRPr="00C867DC">
        <w:rPr>
          <w:rFonts w:cstheme="minorHAnsi"/>
        </w:rPr>
        <w:t xml:space="preserve"> (1993). “Insurer ambiguity and market failure,” </w:t>
      </w:r>
      <w:r w:rsidRPr="00C867DC">
        <w:rPr>
          <w:rFonts w:cstheme="minorHAnsi"/>
          <w:i/>
          <w:iCs/>
        </w:rPr>
        <w:t>Journal of Risk and Uncertainty</w:t>
      </w:r>
      <w:r w:rsidRPr="00C867DC">
        <w:rPr>
          <w:rFonts w:cstheme="minorHAnsi"/>
        </w:rPr>
        <w:t xml:space="preserve">, 7, 71–87. </w:t>
      </w:r>
    </w:p>
    <w:p w14:paraId="6233788D" w14:textId="77777777" w:rsidR="00626F1B" w:rsidRPr="00C867DC" w:rsidRDefault="00626F1B" w:rsidP="00626F1B">
      <w:pPr>
        <w:spacing w:before="120" w:after="240" w:line="360" w:lineRule="auto"/>
        <w:ind w:left="567" w:hanging="567"/>
        <w:rPr>
          <w:rFonts w:cstheme="minorHAnsi"/>
        </w:rPr>
      </w:pPr>
      <w:proofErr w:type="spellStart"/>
      <w:r w:rsidRPr="00C867DC">
        <w:rPr>
          <w:rFonts w:cstheme="minorHAnsi"/>
        </w:rPr>
        <w:t>Kunreuther</w:t>
      </w:r>
      <w:proofErr w:type="spellEnd"/>
      <w:r w:rsidRPr="00C867DC">
        <w:rPr>
          <w:rFonts w:cstheme="minorHAnsi"/>
        </w:rPr>
        <w:t xml:space="preserve">, H., J. </w:t>
      </w:r>
      <w:proofErr w:type="spellStart"/>
      <w:r w:rsidRPr="00C867DC">
        <w:rPr>
          <w:rFonts w:cstheme="minorHAnsi"/>
        </w:rPr>
        <w:t>Meszaros</w:t>
      </w:r>
      <w:proofErr w:type="spellEnd"/>
      <w:r w:rsidRPr="00C867DC">
        <w:rPr>
          <w:rFonts w:cstheme="minorHAnsi"/>
        </w:rPr>
        <w:t xml:space="preserve">, R. Hogarth, and M. </w:t>
      </w:r>
      <w:proofErr w:type="spellStart"/>
      <w:r w:rsidRPr="00C867DC">
        <w:rPr>
          <w:rFonts w:cstheme="minorHAnsi"/>
        </w:rPr>
        <w:t>Spranca</w:t>
      </w:r>
      <w:proofErr w:type="spellEnd"/>
      <w:r w:rsidRPr="00C867DC">
        <w:rPr>
          <w:rFonts w:cstheme="minorHAnsi"/>
        </w:rPr>
        <w:t xml:space="preserve"> (1995). “Ambiguity and underwriter decision processes,” </w:t>
      </w:r>
      <w:r w:rsidRPr="00C867DC">
        <w:rPr>
          <w:rFonts w:cstheme="minorHAnsi"/>
          <w:i/>
          <w:iCs/>
        </w:rPr>
        <w:t xml:space="preserve">Journal of Economic </w:t>
      </w:r>
      <w:proofErr w:type="spellStart"/>
      <w:r w:rsidRPr="00C867DC">
        <w:rPr>
          <w:rFonts w:cstheme="minorHAnsi"/>
          <w:i/>
          <w:iCs/>
        </w:rPr>
        <w:t>Behavior</w:t>
      </w:r>
      <w:proofErr w:type="spellEnd"/>
      <w:r w:rsidRPr="00C867DC">
        <w:rPr>
          <w:rFonts w:cstheme="minorHAnsi"/>
          <w:i/>
          <w:iCs/>
        </w:rPr>
        <w:t xml:space="preserve"> &amp; Organization</w:t>
      </w:r>
      <w:r w:rsidRPr="00C867DC">
        <w:rPr>
          <w:rFonts w:cstheme="minorHAnsi"/>
        </w:rPr>
        <w:t xml:space="preserve">, 26, 337–352. </w:t>
      </w:r>
    </w:p>
    <w:p w14:paraId="6BA4A485" w14:textId="77777777" w:rsidR="00626F1B" w:rsidRPr="00C867DC" w:rsidRDefault="00626F1B" w:rsidP="00626F1B">
      <w:pPr>
        <w:spacing w:before="120" w:after="240" w:line="360" w:lineRule="auto"/>
        <w:ind w:left="567" w:hanging="567"/>
        <w:rPr>
          <w:rFonts w:cstheme="minorHAnsi"/>
        </w:rPr>
      </w:pPr>
      <w:r w:rsidRPr="00C867DC">
        <w:rPr>
          <w:rFonts w:cstheme="minorHAnsi"/>
        </w:rPr>
        <w:t xml:space="preserve">Marinacci, M. (2015). “Model Uncertainty.” </w:t>
      </w:r>
      <w:r w:rsidRPr="00C867DC">
        <w:rPr>
          <w:rFonts w:cstheme="minorHAnsi"/>
          <w:i/>
          <w:iCs/>
        </w:rPr>
        <w:t>Journal of the European Economic Association</w:t>
      </w:r>
      <w:r w:rsidRPr="00C867DC">
        <w:rPr>
          <w:rFonts w:cstheme="minorHAnsi"/>
        </w:rPr>
        <w:t xml:space="preserve"> 13: 1022–1100.</w:t>
      </w:r>
    </w:p>
    <w:p w14:paraId="2648605A" w14:textId="77777777" w:rsidR="00626F1B" w:rsidRPr="00C867DC" w:rsidRDefault="00626F1B" w:rsidP="00626F1B">
      <w:pPr>
        <w:shd w:val="clear" w:color="auto" w:fill="FFFFFF"/>
        <w:spacing w:before="120" w:after="240" w:line="360" w:lineRule="auto"/>
        <w:ind w:left="567" w:hanging="567"/>
        <w:rPr>
          <w:rFonts w:cstheme="minorHAnsi"/>
        </w:rPr>
      </w:pPr>
      <w:proofErr w:type="spellStart"/>
      <w:r w:rsidRPr="00C867DC">
        <w:rPr>
          <w:rFonts w:cstheme="minorHAnsi"/>
        </w:rPr>
        <w:t>Nehring</w:t>
      </w:r>
      <w:proofErr w:type="spellEnd"/>
      <w:r w:rsidRPr="00C867DC">
        <w:rPr>
          <w:rFonts w:cstheme="minorHAnsi"/>
        </w:rPr>
        <w:t xml:space="preserve">, K. (2009). Coping rationally with ambiguity: Robustness versus ambiguity-aversion. </w:t>
      </w:r>
      <w:r w:rsidRPr="00C867DC">
        <w:rPr>
          <w:rFonts w:cstheme="minorHAnsi"/>
          <w:i/>
          <w:iCs/>
        </w:rPr>
        <w:t>Economics and Philosophy</w:t>
      </w:r>
      <w:r w:rsidRPr="00C867DC">
        <w:rPr>
          <w:rFonts w:cstheme="minorHAnsi"/>
        </w:rPr>
        <w:t>, 25(03), 303-334.</w:t>
      </w:r>
    </w:p>
    <w:p w14:paraId="41A53509" w14:textId="77777777" w:rsidR="00626F1B" w:rsidRPr="00C867DC" w:rsidRDefault="00626F1B" w:rsidP="00626F1B">
      <w:pPr>
        <w:shd w:val="clear" w:color="auto" w:fill="FFFFFF"/>
        <w:spacing w:before="120" w:after="240" w:line="360" w:lineRule="auto"/>
        <w:ind w:left="567" w:hanging="567"/>
        <w:rPr>
          <w:rFonts w:cstheme="minorHAnsi"/>
        </w:rPr>
      </w:pPr>
      <w:r w:rsidRPr="00C867DC">
        <w:rPr>
          <w:rFonts w:cstheme="minorHAnsi"/>
        </w:rPr>
        <w:t xml:space="preserve">Philp, T., T. </w:t>
      </w:r>
      <w:proofErr w:type="spellStart"/>
      <w:r w:rsidRPr="00C867DC">
        <w:rPr>
          <w:rFonts w:cstheme="minorHAnsi"/>
        </w:rPr>
        <w:t>Sabbatelli</w:t>
      </w:r>
      <w:proofErr w:type="spellEnd"/>
      <w:r w:rsidRPr="00C867DC">
        <w:rPr>
          <w:rFonts w:cstheme="minorHAnsi"/>
        </w:rPr>
        <w:t xml:space="preserve">, C. </w:t>
      </w:r>
      <w:proofErr w:type="spellStart"/>
      <w:r w:rsidRPr="00C867DC">
        <w:rPr>
          <w:rFonts w:cstheme="minorHAnsi"/>
        </w:rPr>
        <w:t>Roberston</w:t>
      </w:r>
      <w:proofErr w:type="spellEnd"/>
      <w:r w:rsidRPr="00C867DC">
        <w:rPr>
          <w:rFonts w:cstheme="minorHAnsi"/>
        </w:rPr>
        <w:t xml:space="preserve">, and P. Wilson. (2019). “Issues of Importance to the (Re)Insurance Industry: A Timescale Perspective.” In </w:t>
      </w:r>
      <w:r w:rsidRPr="00C867DC">
        <w:rPr>
          <w:rFonts w:cstheme="minorHAnsi"/>
          <w:i/>
          <w:iCs/>
        </w:rPr>
        <w:t>Hurricane Risk</w:t>
      </w:r>
      <w:r w:rsidRPr="00C867DC">
        <w:rPr>
          <w:rFonts w:cstheme="minorHAnsi"/>
        </w:rPr>
        <w:t>, edited by Jennifer Collins and Kevin Walsh. Vol. 1. Hurricane Risk. Springer International.</w:t>
      </w:r>
    </w:p>
    <w:p w14:paraId="79F07A06" w14:textId="77777777" w:rsidR="00626F1B" w:rsidRPr="00C867DC" w:rsidRDefault="00626F1B" w:rsidP="00626F1B">
      <w:pPr>
        <w:shd w:val="clear" w:color="auto" w:fill="FFFFFF"/>
        <w:spacing w:before="120" w:after="240" w:line="360" w:lineRule="auto"/>
        <w:ind w:left="567" w:hanging="567"/>
        <w:rPr>
          <w:rFonts w:cstheme="minorHAnsi"/>
          <w:lang w:val="en-US"/>
        </w:rPr>
      </w:pPr>
      <w:r w:rsidRPr="00C867DC">
        <w:rPr>
          <w:rFonts w:cstheme="minorHAnsi"/>
        </w:rPr>
        <w:lastRenderedPageBreak/>
        <w:t xml:space="preserve">Ranger, N. and </w:t>
      </w:r>
      <w:proofErr w:type="spellStart"/>
      <w:r w:rsidRPr="00C867DC">
        <w:rPr>
          <w:rFonts w:cstheme="minorHAnsi"/>
        </w:rPr>
        <w:t>Niehörster</w:t>
      </w:r>
      <w:proofErr w:type="spellEnd"/>
      <w:r w:rsidRPr="00C867DC">
        <w:rPr>
          <w:rFonts w:cstheme="minorHAnsi"/>
        </w:rPr>
        <w:t xml:space="preserve">, F. (2012) “Deep uncertainty in long-term </w:t>
      </w:r>
      <w:proofErr w:type="spellStart"/>
      <w:r w:rsidRPr="00C867DC">
        <w:rPr>
          <w:rFonts w:cstheme="minorHAnsi"/>
        </w:rPr>
        <w:t>hurricance</w:t>
      </w:r>
      <w:proofErr w:type="spellEnd"/>
      <w:r w:rsidRPr="00C867DC">
        <w:rPr>
          <w:rFonts w:cstheme="minorHAnsi"/>
        </w:rPr>
        <w:t xml:space="preserve"> risk: scenario generation and implications for future climate experiments”, </w:t>
      </w:r>
      <w:r w:rsidRPr="00C867DC">
        <w:rPr>
          <w:rFonts w:cstheme="minorHAnsi"/>
          <w:i/>
          <w:lang w:val="en-US"/>
        </w:rPr>
        <w:t>Global Environmental Change</w:t>
      </w:r>
      <w:r w:rsidRPr="00C867DC">
        <w:rPr>
          <w:rFonts w:cstheme="minorHAnsi"/>
          <w:lang w:val="en-US"/>
        </w:rPr>
        <w:t xml:space="preserve"> 22: 703–712</w:t>
      </w:r>
    </w:p>
    <w:p w14:paraId="19863DA1" w14:textId="77777777" w:rsidR="00626F1B" w:rsidRPr="00C867DC" w:rsidRDefault="00626F1B" w:rsidP="00626F1B">
      <w:pPr>
        <w:shd w:val="clear" w:color="auto" w:fill="FFFFFF"/>
        <w:spacing w:before="120" w:after="240" w:line="360" w:lineRule="auto"/>
        <w:ind w:left="567" w:hanging="567"/>
        <w:rPr>
          <w:rFonts w:cstheme="minorHAnsi"/>
          <w:lang w:val="en-US"/>
        </w:rPr>
      </w:pPr>
      <w:r w:rsidRPr="00C867DC">
        <w:rPr>
          <w:rFonts w:cstheme="minorHAnsi"/>
          <w:lang w:val="en-US"/>
        </w:rPr>
        <w:t>Roussos, J., Bradley, R and R. Frigg (forthcoming 2020) “</w:t>
      </w:r>
      <w:r w:rsidRPr="00C867DC">
        <w:rPr>
          <w:rFonts w:cstheme="minorHAnsi"/>
          <w:color w:val="000000"/>
        </w:rPr>
        <w:t xml:space="preserve">Making confident decisions with model ensembles”, </w:t>
      </w:r>
      <w:r w:rsidRPr="00C867DC">
        <w:rPr>
          <w:rFonts w:cstheme="minorHAnsi"/>
          <w:i/>
          <w:iCs/>
          <w:color w:val="000000"/>
        </w:rPr>
        <w:t>Philosophy of Science</w:t>
      </w:r>
    </w:p>
    <w:p w14:paraId="4DF7104C" w14:textId="77777777" w:rsidR="00626F1B" w:rsidRPr="00C867DC" w:rsidRDefault="00626F1B" w:rsidP="00626F1B">
      <w:pPr>
        <w:shd w:val="clear" w:color="auto" w:fill="FFFFFF"/>
        <w:spacing w:before="120" w:after="240" w:line="360" w:lineRule="auto"/>
        <w:ind w:left="567" w:hanging="567"/>
        <w:rPr>
          <w:rFonts w:cstheme="minorHAnsi"/>
        </w:rPr>
      </w:pPr>
      <w:proofErr w:type="spellStart"/>
      <w:r w:rsidRPr="00C867DC">
        <w:rPr>
          <w:rFonts w:cstheme="minorHAnsi"/>
        </w:rPr>
        <w:t>Sabbatelli</w:t>
      </w:r>
      <w:proofErr w:type="spellEnd"/>
      <w:r w:rsidRPr="00C867DC">
        <w:rPr>
          <w:rFonts w:cstheme="minorHAnsi"/>
        </w:rPr>
        <w:t xml:space="preserve">, T., and J, Waters. (2015). “We’re Still All Wondering – Where Have All </w:t>
      </w:r>
      <w:proofErr w:type="gramStart"/>
      <w:r w:rsidRPr="00C867DC">
        <w:rPr>
          <w:rFonts w:cstheme="minorHAnsi"/>
        </w:rPr>
        <w:t>The</w:t>
      </w:r>
      <w:proofErr w:type="gramEnd"/>
      <w:r w:rsidRPr="00C867DC">
        <w:rPr>
          <w:rFonts w:cstheme="minorHAnsi"/>
        </w:rPr>
        <w:t xml:space="preserve"> Hurricanes Gone?” </w:t>
      </w:r>
      <w:r w:rsidRPr="00C867DC">
        <w:rPr>
          <w:rFonts w:cstheme="minorHAnsi"/>
          <w:i/>
          <w:iCs/>
        </w:rPr>
        <w:t xml:space="preserve">The RMS Blog </w:t>
      </w:r>
      <w:r w:rsidRPr="00C867DC">
        <w:rPr>
          <w:rFonts w:cstheme="minorHAnsi"/>
        </w:rPr>
        <w:t xml:space="preserve">(blog). October 27, 2015. http://www.rms.com/blog/2015/10/27/were-still-all-wondering-where-have-all-the-hurricanes-gone/. </w:t>
      </w:r>
    </w:p>
    <w:p w14:paraId="1A39000A" w14:textId="77777777" w:rsidR="00626F1B" w:rsidRPr="00C867DC" w:rsidRDefault="00626F1B" w:rsidP="00626F1B">
      <w:pPr>
        <w:shd w:val="clear" w:color="auto" w:fill="FFFFFF"/>
        <w:spacing w:before="120" w:after="240" w:line="360" w:lineRule="auto"/>
        <w:ind w:left="567" w:hanging="567"/>
        <w:rPr>
          <w:rFonts w:cstheme="minorHAnsi"/>
        </w:rPr>
      </w:pPr>
      <w:proofErr w:type="spellStart"/>
      <w:r w:rsidRPr="00C867DC">
        <w:rPr>
          <w:rFonts w:cstheme="minorHAnsi"/>
          <w:color w:val="000000"/>
          <w:lang w:val="en-US"/>
        </w:rPr>
        <w:t>Shome</w:t>
      </w:r>
      <w:proofErr w:type="spellEnd"/>
      <w:r w:rsidRPr="00C867DC">
        <w:rPr>
          <w:rFonts w:cstheme="minorHAnsi"/>
          <w:color w:val="000000"/>
          <w:lang w:val="en-US"/>
        </w:rPr>
        <w:t xml:space="preserve">, N., M. </w:t>
      </w:r>
      <w:proofErr w:type="spellStart"/>
      <w:r w:rsidRPr="00C867DC">
        <w:rPr>
          <w:rFonts w:cstheme="minorHAnsi"/>
          <w:color w:val="000000"/>
          <w:lang w:val="en-US"/>
        </w:rPr>
        <w:t>Rahnama</w:t>
      </w:r>
      <w:proofErr w:type="spellEnd"/>
      <w:r w:rsidRPr="00C867DC">
        <w:rPr>
          <w:rFonts w:cstheme="minorHAnsi"/>
          <w:color w:val="000000"/>
          <w:lang w:val="en-US"/>
        </w:rPr>
        <w:t xml:space="preserve">, S. Jewson, and P. Wilson (2017). “Quantifying Model Uncertainty and Risk.” In Michel, G. (ed.) </w:t>
      </w:r>
      <w:r w:rsidRPr="00C867DC">
        <w:rPr>
          <w:rFonts w:cstheme="minorHAnsi"/>
          <w:i/>
          <w:iCs/>
          <w:color w:val="000000"/>
          <w:lang w:val="en-US"/>
        </w:rPr>
        <w:t>Risk Modeling for Hazards and Disasters</w:t>
      </w:r>
      <w:r w:rsidRPr="00C867DC">
        <w:rPr>
          <w:rFonts w:cstheme="minorHAnsi"/>
          <w:color w:val="000000"/>
          <w:lang w:val="en-US"/>
        </w:rPr>
        <w:t xml:space="preserve">, 3–46. Elsevier. </w:t>
      </w:r>
    </w:p>
    <w:p w14:paraId="17C33D9A" w14:textId="77777777" w:rsidR="00626F1B" w:rsidRPr="00C867DC" w:rsidRDefault="00626F1B" w:rsidP="00626F1B">
      <w:pPr>
        <w:shd w:val="clear" w:color="auto" w:fill="FFFFFF"/>
        <w:spacing w:before="120" w:after="240" w:line="360" w:lineRule="auto"/>
        <w:ind w:left="567" w:hanging="567"/>
        <w:rPr>
          <w:rFonts w:cstheme="minorHAnsi"/>
        </w:rPr>
      </w:pPr>
      <w:proofErr w:type="spellStart"/>
      <w:r w:rsidRPr="00C867DC">
        <w:rPr>
          <w:rFonts w:cstheme="minorHAnsi"/>
          <w:color w:val="000000"/>
          <w:lang w:val="en-US"/>
        </w:rPr>
        <w:t>Stainforth</w:t>
      </w:r>
      <w:proofErr w:type="spellEnd"/>
      <w:r w:rsidRPr="00C867DC">
        <w:rPr>
          <w:rFonts w:cstheme="minorHAnsi"/>
          <w:color w:val="000000"/>
          <w:lang w:val="en-US"/>
        </w:rPr>
        <w:t xml:space="preserve">, D., M.R. Allen, E.R. </w:t>
      </w:r>
      <w:proofErr w:type="spellStart"/>
      <w:r w:rsidRPr="00C867DC">
        <w:rPr>
          <w:rFonts w:cstheme="minorHAnsi"/>
          <w:color w:val="000000"/>
          <w:lang w:val="en-US"/>
        </w:rPr>
        <w:t>Tredger</w:t>
      </w:r>
      <w:proofErr w:type="spellEnd"/>
      <w:r w:rsidRPr="00C867DC">
        <w:rPr>
          <w:rFonts w:cstheme="minorHAnsi"/>
          <w:color w:val="000000"/>
          <w:lang w:val="en-US"/>
        </w:rPr>
        <w:t xml:space="preserve">, and L. Smith. (2007). “Confidence, Uncertainty and Decision-Support Relevance in Climate Predictions.” </w:t>
      </w:r>
      <w:r w:rsidRPr="00C867DC">
        <w:rPr>
          <w:rFonts w:cstheme="minorHAnsi"/>
          <w:i/>
          <w:iCs/>
          <w:lang w:val="en-US"/>
        </w:rPr>
        <w:t xml:space="preserve">Philosophical Transactions of the Royal Society A: Mathematical, Physical and Engineering Sciences </w:t>
      </w:r>
      <w:r w:rsidRPr="00C867DC">
        <w:rPr>
          <w:rFonts w:cstheme="minorHAnsi"/>
          <w:lang w:val="en-US"/>
        </w:rPr>
        <w:t xml:space="preserve">365 (June): 2145–61. </w:t>
      </w:r>
    </w:p>
    <w:p w14:paraId="381EF8BD" w14:textId="77777777" w:rsidR="00626F1B" w:rsidRPr="00C867DC" w:rsidRDefault="00626F1B" w:rsidP="00626F1B">
      <w:pPr>
        <w:shd w:val="clear" w:color="auto" w:fill="FFFFFF"/>
        <w:spacing w:before="120" w:after="240" w:line="360" w:lineRule="auto"/>
        <w:ind w:left="567" w:hanging="567"/>
        <w:rPr>
          <w:rFonts w:cstheme="minorHAnsi"/>
        </w:rPr>
      </w:pPr>
      <w:proofErr w:type="spellStart"/>
      <w:r w:rsidRPr="00C867DC">
        <w:rPr>
          <w:rFonts w:cstheme="minorHAnsi"/>
          <w:lang w:val="en-US"/>
        </w:rPr>
        <w:t>Stainforth</w:t>
      </w:r>
      <w:proofErr w:type="spellEnd"/>
      <w:r w:rsidRPr="00C867DC">
        <w:rPr>
          <w:rFonts w:cstheme="minorHAnsi"/>
          <w:lang w:val="en-US"/>
        </w:rPr>
        <w:t xml:space="preserve">, D., T. E Downing, R. Washington, A. Lopez, and M. New. (2007). “Issues in the Interpretation of Climate Model Ensembles to Inform Decisions.” </w:t>
      </w:r>
      <w:r w:rsidRPr="00C867DC">
        <w:rPr>
          <w:rFonts w:cstheme="minorHAnsi"/>
          <w:i/>
          <w:iCs/>
          <w:lang w:val="en-US"/>
        </w:rPr>
        <w:t xml:space="preserve">Philosophical Transactions of the Royal Society A </w:t>
      </w:r>
      <w:r w:rsidRPr="00C867DC">
        <w:rPr>
          <w:rFonts w:cstheme="minorHAnsi"/>
          <w:lang w:val="en-US"/>
        </w:rPr>
        <w:t xml:space="preserve">365 (1857): 2163–77. </w:t>
      </w:r>
    </w:p>
    <w:p w14:paraId="1739428E" w14:textId="77777777" w:rsidR="00626F1B" w:rsidRPr="00C867DC" w:rsidRDefault="00626F1B" w:rsidP="00626F1B">
      <w:pPr>
        <w:shd w:val="clear" w:color="auto" w:fill="FFFFFF"/>
        <w:spacing w:before="120" w:after="240" w:line="360" w:lineRule="auto"/>
        <w:ind w:left="567" w:hanging="567"/>
        <w:rPr>
          <w:rFonts w:cstheme="minorHAnsi"/>
        </w:rPr>
      </w:pPr>
      <w:r w:rsidRPr="00C867DC">
        <w:rPr>
          <w:rFonts w:cstheme="minorHAnsi"/>
        </w:rPr>
        <w:t>J. M. Stone (1973), “A Theory of Capacity and the Insurance of Catastrophe</w:t>
      </w:r>
      <w:r w:rsidRPr="00C867DC">
        <w:rPr>
          <w:rFonts w:eastAsia="Times New Roman" w:cstheme="minorHAnsi"/>
          <w:lang w:eastAsia="en-GB"/>
        </w:rPr>
        <w:t xml:space="preserve"> </w:t>
      </w:r>
      <w:r w:rsidRPr="00C867DC">
        <w:rPr>
          <w:rFonts w:cstheme="minorHAnsi"/>
        </w:rPr>
        <w:t xml:space="preserve">Risks,” </w:t>
      </w:r>
      <w:r w:rsidRPr="00C867DC">
        <w:rPr>
          <w:rFonts w:cstheme="minorHAnsi"/>
          <w:i/>
        </w:rPr>
        <w:t>Journal of Risk and</w:t>
      </w:r>
      <w:r w:rsidRPr="00C867DC">
        <w:rPr>
          <w:rFonts w:cstheme="minorHAnsi"/>
          <w:i/>
          <w:iCs/>
        </w:rPr>
        <w:t xml:space="preserve"> Insurance </w:t>
      </w:r>
      <w:r w:rsidRPr="00C867DC">
        <w:rPr>
          <w:rFonts w:cstheme="minorHAnsi"/>
        </w:rPr>
        <w:t>Vol. XL, No. 2, 1973, p. 23 1</w:t>
      </w:r>
      <w:r w:rsidRPr="00C867DC">
        <w:rPr>
          <w:rFonts w:eastAsia="Times New Roman" w:cstheme="minorHAnsi"/>
          <w:lang w:eastAsia="en-GB"/>
        </w:rPr>
        <w:t xml:space="preserve"> </w:t>
      </w:r>
      <w:r w:rsidRPr="00C867DC">
        <w:rPr>
          <w:rFonts w:cstheme="minorHAnsi"/>
        </w:rPr>
        <w:t>and Vol. XL, No. 3, 1973, p. 339.</w:t>
      </w:r>
    </w:p>
    <w:p w14:paraId="029D8490" w14:textId="1C01217F" w:rsidR="0016246B" w:rsidRPr="00944DFA" w:rsidRDefault="0016246B" w:rsidP="00944DFA">
      <w:pPr>
        <w:spacing w:before="120" w:after="240" w:line="276" w:lineRule="auto"/>
      </w:pPr>
    </w:p>
    <w:sectPr w:rsidR="0016246B" w:rsidRPr="00944DFA">
      <w:footerReference w:type="default" r:id="rId10"/>
      <w:footnotePr>
        <w:pos w:val="beneathTex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E06FE" w14:textId="77777777" w:rsidR="001867AA" w:rsidRDefault="001867AA" w:rsidP="00983E89">
      <w:pPr>
        <w:spacing w:after="0" w:line="240" w:lineRule="auto"/>
      </w:pPr>
      <w:r>
        <w:separator/>
      </w:r>
    </w:p>
  </w:endnote>
  <w:endnote w:type="continuationSeparator" w:id="0">
    <w:p w14:paraId="285C8F84" w14:textId="77777777" w:rsidR="001867AA" w:rsidRDefault="001867AA" w:rsidP="00983E89">
      <w:pPr>
        <w:spacing w:after="0" w:line="240" w:lineRule="auto"/>
      </w:pPr>
      <w:r>
        <w:continuationSeparator/>
      </w:r>
    </w:p>
  </w:endnote>
  <w:endnote w:type="continuationNotice" w:id="1">
    <w:p w14:paraId="01D827B4" w14:textId="77777777" w:rsidR="001867AA" w:rsidRDefault="00186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611576"/>
      <w:docPartObj>
        <w:docPartGallery w:val="Page Numbers (Bottom of Page)"/>
        <w:docPartUnique/>
      </w:docPartObj>
    </w:sdtPr>
    <w:sdtEndPr>
      <w:rPr>
        <w:noProof/>
      </w:rPr>
    </w:sdtEndPr>
    <w:sdtContent>
      <w:p w14:paraId="7178F34B" w14:textId="3A63D807" w:rsidR="000C2B4D" w:rsidRDefault="000C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31FAA0" w14:textId="77777777" w:rsidR="000C2B4D" w:rsidRDefault="000C2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7FCAE" w14:textId="77777777" w:rsidR="001867AA" w:rsidRDefault="001867AA" w:rsidP="00983E89">
      <w:pPr>
        <w:spacing w:after="0" w:line="240" w:lineRule="auto"/>
      </w:pPr>
      <w:r>
        <w:separator/>
      </w:r>
    </w:p>
  </w:footnote>
  <w:footnote w:type="continuationSeparator" w:id="0">
    <w:p w14:paraId="52CDD65D" w14:textId="77777777" w:rsidR="001867AA" w:rsidRDefault="001867AA" w:rsidP="00983E89">
      <w:pPr>
        <w:spacing w:after="0" w:line="240" w:lineRule="auto"/>
      </w:pPr>
      <w:r>
        <w:continuationSeparator/>
      </w:r>
    </w:p>
  </w:footnote>
  <w:footnote w:type="continuationNotice" w:id="1">
    <w:p w14:paraId="129B9370" w14:textId="77777777" w:rsidR="001867AA" w:rsidRDefault="001867AA">
      <w:pPr>
        <w:spacing w:after="0" w:line="240" w:lineRule="auto"/>
      </w:pPr>
    </w:p>
  </w:footnote>
  <w:footnote w:id="2">
    <w:p w14:paraId="2C5C9D63" w14:textId="3DF97476" w:rsidR="00767347" w:rsidRDefault="00767347">
      <w:pPr>
        <w:pStyle w:val="FootnoteText"/>
      </w:pPr>
      <w:r>
        <w:rPr>
          <w:rStyle w:val="FootnoteReference"/>
        </w:rPr>
        <w:footnoteRef/>
      </w:r>
      <w:r>
        <w:t xml:space="preserve"> Here I follow Dietz and Walker (2017).</w:t>
      </w:r>
    </w:p>
  </w:footnote>
  <w:footnote w:id="3">
    <w:p w14:paraId="79355A8A" w14:textId="1D8C4ADA" w:rsidR="00357367" w:rsidRDefault="00357367">
      <w:pPr>
        <w:pStyle w:val="FootnoteText"/>
      </w:pPr>
      <w:r>
        <w:rPr>
          <w:rStyle w:val="FootnoteReference"/>
        </w:rPr>
        <w:footnoteRef/>
      </w:r>
      <w:r>
        <w:t xml:space="preserve"> </w:t>
      </w:r>
      <w:r>
        <w:rPr>
          <w:lang w:val="en-US"/>
        </w:rPr>
        <w:t>See Heal and Milner (2014), Gilboa and Marinacci (2013) and Bradley (2017) for surveys of existing proposals for decision rules for ambiguity.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ED065"/>
    <w:multiLevelType w:val="hybridMultilevel"/>
    <w:tmpl w:val="DE3738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751243"/>
    <w:multiLevelType w:val="hybridMultilevel"/>
    <w:tmpl w:val="0CEC0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E6159D"/>
    <w:multiLevelType w:val="hybridMultilevel"/>
    <w:tmpl w:val="32D69EC8"/>
    <w:lvl w:ilvl="0" w:tplc="AB2670A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7A77DC"/>
    <w:multiLevelType w:val="hybridMultilevel"/>
    <w:tmpl w:val="A8D6A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951CD1"/>
    <w:multiLevelType w:val="hybridMultilevel"/>
    <w:tmpl w:val="F48EB706"/>
    <w:lvl w:ilvl="0" w:tplc="E68C0FE2">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A54BD1"/>
    <w:multiLevelType w:val="hybridMultilevel"/>
    <w:tmpl w:val="B0346F7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E3C07"/>
    <w:multiLevelType w:val="hybridMultilevel"/>
    <w:tmpl w:val="B762A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FB5CFD"/>
    <w:multiLevelType w:val="hybridMultilevel"/>
    <w:tmpl w:val="20500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0246CF"/>
    <w:multiLevelType w:val="hybridMultilevel"/>
    <w:tmpl w:val="743C8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885FB2"/>
    <w:multiLevelType w:val="hybridMultilevel"/>
    <w:tmpl w:val="C00E8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0F586F"/>
    <w:multiLevelType w:val="hybridMultilevel"/>
    <w:tmpl w:val="AE64C006"/>
    <w:lvl w:ilvl="0" w:tplc="27124906">
      <w:start w:val="1"/>
      <w:numFmt w:val="bullet"/>
      <w:lvlText w:val="•"/>
      <w:lvlJc w:val="left"/>
      <w:pPr>
        <w:tabs>
          <w:tab w:val="num" w:pos="720"/>
        </w:tabs>
        <w:ind w:left="720" w:hanging="360"/>
      </w:pPr>
      <w:rPr>
        <w:rFonts w:ascii="Arial" w:hAnsi="Arial" w:hint="default"/>
      </w:rPr>
    </w:lvl>
    <w:lvl w:ilvl="1" w:tplc="FE02230A">
      <w:start w:val="206"/>
      <w:numFmt w:val="bullet"/>
      <w:lvlText w:val="•"/>
      <w:lvlJc w:val="left"/>
      <w:pPr>
        <w:tabs>
          <w:tab w:val="num" w:pos="1440"/>
        </w:tabs>
        <w:ind w:left="1440" w:hanging="360"/>
      </w:pPr>
      <w:rPr>
        <w:rFonts w:ascii="Arial" w:hAnsi="Arial" w:hint="default"/>
      </w:rPr>
    </w:lvl>
    <w:lvl w:ilvl="2" w:tplc="7F881A38" w:tentative="1">
      <w:start w:val="1"/>
      <w:numFmt w:val="bullet"/>
      <w:lvlText w:val="•"/>
      <w:lvlJc w:val="left"/>
      <w:pPr>
        <w:tabs>
          <w:tab w:val="num" w:pos="2160"/>
        </w:tabs>
        <w:ind w:left="2160" w:hanging="360"/>
      </w:pPr>
      <w:rPr>
        <w:rFonts w:ascii="Arial" w:hAnsi="Arial" w:hint="default"/>
      </w:rPr>
    </w:lvl>
    <w:lvl w:ilvl="3" w:tplc="434C30CA" w:tentative="1">
      <w:start w:val="1"/>
      <w:numFmt w:val="bullet"/>
      <w:lvlText w:val="•"/>
      <w:lvlJc w:val="left"/>
      <w:pPr>
        <w:tabs>
          <w:tab w:val="num" w:pos="2880"/>
        </w:tabs>
        <w:ind w:left="2880" w:hanging="360"/>
      </w:pPr>
      <w:rPr>
        <w:rFonts w:ascii="Arial" w:hAnsi="Arial" w:hint="default"/>
      </w:rPr>
    </w:lvl>
    <w:lvl w:ilvl="4" w:tplc="21D2B70A" w:tentative="1">
      <w:start w:val="1"/>
      <w:numFmt w:val="bullet"/>
      <w:lvlText w:val="•"/>
      <w:lvlJc w:val="left"/>
      <w:pPr>
        <w:tabs>
          <w:tab w:val="num" w:pos="3600"/>
        </w:tabs>
        <w:ind w:left="3600" w:hanging="360"/>
      </w:pPr>
      <w:rPr>
        <w:rFonts w:ascii="Arial" w:hAnsi="Arial" w:hint="default"/>
      </w:rPr>
    </w:lvl>
    <w:lvl w:ilvl="5" w:tplc="A7E4868A" w:tentative="1">
      <w:start w:val="1"/>
      <w:numFmt w:val="bullet"/>
      <w:lvlText w:val="•"/>
      <w:lvlJc w:val="left"/>
      <w:pPr>
        <w:tabs>
          <w:tab w:val="num" w:pos="4320"/>
        </w:tabs>
        <w:ind w:left="4320" w:hanging="360"/>
      </w:pPr>
      <w:rPr>
        <w:rFonts w:ascii="Arial" w:hAnsi="Arial" w:hint="default"/>
      </w:rPr>
    </w:lvl>
    <w:lvl w:ilvl="6" w:tplc="F022F994" w:tentative="1">
      <w:start w:val="1"/>
      <w:numFmt w:val="bullet"/>
      <w:lvlText w:val="•"/>
      <w:lvlJc w:val="left"/>
      <w:pPr>
        <w:tabs>
          <w:tab w:val="num" w:pos="5040"/>
        </w:tabs>
        <w:ind w:left="5040" w:hanging="360"/>
      </w:pPr>
      <w:rPr>
        <w:rFonts w:ascii="Arial" w:hAnsi="Arial" w:hint="default"/>
      </w:rPr>
    </w:lvl>
    <w:lvl w:ilvl="7" w:tplc="2DAA3A50" w:tentative="1">
      <w:start w:val="1"/>
      <w:numFmt w:val="bullet"/>
      <w:lvlText w:val="•"/>
      <w:lvlJc w:val="left"/>
      <w:pPr>
        <w:tabs>
          <w:tab w:val="num" w:pos="5760"/>
        </w:tabs>
        <w:ind w:left="5760" w:hanging="360"/>
      </w:pPr>
      <w:rPr>
        <w:rFonts w:ascii="Arial" w:hAnsi="Arial" w:hint="default"/>
      </w:rPr>
    </w:lvl>
    <w:lvl w:ilvl="8" w:tplc="95847F5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68B00AE"/>
    <w:multiLevelType w:val="hybridMultilevel"/>
    <w:tmpl w:val="CA0A90DE"/>
    <w:lvl w:ilvl="0" w:tplc="76F65A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2"/>
  </w:num>
  <w:num w:numId="4">
    <w:abstractNumId w:val="8"/>
  </w:num>
  <w:num w:numId="5">
    <w:abstractNumId w:val="3"/>
  </w:num>
  <w:num w:numId="6">
    <w:abstractNumId w:val="6"/>
  </w:num>
  <w:num w:numId="7">
    <w:abstractNumId w:val="1"/>
  </w:num>
  <w:num w:numId="8">
    <w:abstractNumId w:val="4"/>
  </w:num>
  <w:num w:numId="9">
    <w:abstractNumId w:val="7"/>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AD"/>
    <w:rsid w:val="000001F9"/>
    <w:rsid w:val="00001C90"/>
    <w:rsid w:val="0000310A"/>
    <w:rsid w:val="0000491B"/>
    <w:rsid w:val="00005826"/>
    <w:rsid w:val="00005B30"/>
    <w:rsid w:val="00005B94"/>
    <w:rsid w:val="000101A1"/>
    <w:rsid w:val="0001384D"/>
    <w:rsid w:val="000176DB"/>
    <w:rsid w:val="00017FB3"/>
    <w:rsid w:val="00023B43"/>
    <w:rsid w:val="00024BD5"/>
    <w:rsid w:val="00024E1B"/>
    <w:rsid w:val="00024F6D"/>
    <w:rsid w:val="0002551E"/>
    <w:rsid w:val="0002564A"/>
    <w:rsid w:val="00027B11"/>
    <w:rsid w:val="00030B93"/>
    <w:rsid w:val="00031FCE"/>
    <w:rsid w:val="000329E3"/>
    <w:rsid w:val="0003528F"/>
    <w:rsid w:val="0003531C"/>
    <w:rsid w:val="00041FF9"/>
    <w:rsid w:val="00044259"/>
    <w:rsid w:val="0004425F"/>
    <w:rsid w:val="0004567A"/>
    <w:rsid w:val="000470F9"/>
    <w:rsid w:val="0005604B"/>
    <w:rsid w:val="000621AA"/>
    <w:rsid w:val="000700B0"/>
    <w:rsid w:val="00070C0B"/>
    <w:rsid w:val="0007297F"/>
    <w:rsid w:val="00073F34"/>
    <w:rsid w:val="00074068"/>
    <w:rsid w:val="00074689"/>
    <w:rsid w:val="000813DE"/>
    <w:rsid w:val="000831A4"/>
    <w:rsid w:val="00084872"/>
    <w:rsid w:val="00084EC3"/>
    <w:rsid w:val="000854B4"/>
    <w:rsid w:val="0008634A"/>
    <w:rsid w:val="00086376"/>
    <w:rsid w:val="000872CE"/>
    <w:rsid w:val="0008741B"/>
    <w:rsid w:val="00090C06"/>
    <w:rsid w:val="000926EE"/>
    <w:rsid w:val="000A03FC"/>
    <w:rsid w:val="000A597C"/>
    <w:rsid w:val="000A6E10"/>
    <w:rsid w:val="000B0A08"/>
    <w:rsid w:val="000B253F"/>
    <w:rsid w:val="000B2BDF"/>
    <w:rsid w:val="000B3E9E"/>
    <w:rsid w:val="000B6A01"/>
    <w:rsid w:val="000C2444"/>
    <w:rsid w:val="000C2B4D"/>
    <w:rsid w:val="000C5B72"/>
    <w:rsid w:val="000D041A"/>
    <w:rsid w:val="000D288E"/>
    <w:rsid w:val="000D7670"/>
    <w:rsid w:val="000E24D3"/>
    <w:rsid w:val="000E270B"/>
    <w:rsid w:val="000F1D65"/>
    <w:rsid w:val="00103557"/>
    <w:rsid w:val="00104B39"/>
    <w:rsid w:val="00111F5E"/>
    <w:rsid w:val="00112C84"/>
    <w:rsid w:val="0012011F"/>
    <w:rsid w:val="0013491C"/>
    <w:rsid w:val="0013496A"/>
    <w:rsid w:val="00135753"/>
    <w:rsid w:val="00136D28"/>
    <w:rsid w:val="001460AA"/>
    <w:rsid w:val="00151B8B"/>
    <w:rsid w:val="001528AC"/>
    <w:rsid w:val="00160165"/>
    <w:rsid w:val="0016246B"/>
    <w:rsid w:val="00163345"/>
    <w:rsid w:val="00166466"/>
    <w:rsid w:val="0016699B"/>
    <w:rsid w:val="00167A4D"/>
    <w:rsid w:val="001724CB"/>
    <w:rsid w:val="0017337A"/>
    <w:rsid w:val="00176993"/>
    <w:rsid w:val="00183A31"/>
    <w:rsid w:val="00184C38"/>
    <w:rsid w:val="00184C93"/>
    <w:rsid w:val="00185F88"/>
    <w:rsid w:val="001867AA"/>
    <w:rsid w:val="00187895"/>
    <w:rsid w:val="00191727"/>
    <w:rsid w:val="0019777A"/>
    <w:rsid w:val="001A0856"/>
    <w:rsid w:val="001A4556"/>
    <w:rsid w:val="001A4917"/>
    <w:rsid w:val="001A542A"/>
    <w:rsid w:val="001A5601"/>
    <w:rsid w:val="001B0122"/>
    <w:rsid w:val="001B04D0"/>
    <w:rsid w:val="001B1EBA"/>
    <w:rsid w:val="001B2735"/>
    <w:rsid w:val="001B4615"/>
    <w:rsid w:val="001B5490"/>
    <w:rsid w:val="001B5C77"/>
    <w:rsid w:val="001C6785"/>
    <w:rsid w:val="001D7E6C"/>
    <w:rsid w:val="001E3D00"/>
    <w:rsid w:val="001E48DC"/>
    <w:rsid w:val="001E4E5B"/>
    <w:rsid w:val="001E5AED"/>
    <w:rsid w:val="001E6279"/>
    <w:rsid w:val="001F0491"/>
    <w:rsid w:val="001F1F08"/>
    <w:rsid w:val="001F6E93"/>
    <w:rsid w:val="002013F5"/>
    <w:rsid w:val="00201952"/>
    <w:rsid w:val="002026D9"/>
    <w:rsid w:val="00203742"/>
    <w:rsid w:val="00203BA6"/>
    <w:rsid w:val="0021252A"/>
    <w:rsid w:val="002133EE"/>
    <w:rsid w:val="00213790"/>
    <w:rsid w:val="002241C9"/>
    <w:rsid w:val="00226CF7"/>
    <w:rsid w:val="00230BC1"/>
    <w:rsid w:val="00232572"/>
    <w:rsid w:val="00236D6C"/>
    <w:rsid w:val="002417E5"/>
    <w:rsid w:val="00247089"/>
    <w:rsid w:val="002475E5"/>
    <w:rsid w:val="00247E55"/>
    <w:rsid w:val="00251A37"/>
    <w:rsid w:val="002528B6"/>
    <w:rsid w:val="00256E23"/>
    <w:rsid w:val="0025753C"/>
    <w:rsid w:val="002604D5"/>
    <w:rsid w:val="002649D9"/>
    <w:rsid w:val="00266821"/>
    <w:rsid w:val="002719B6"/>
    <w:rsid w:val="00273BBD"/>
    <w:rsid w:val="00273E38"/>
    <w:rsid w:val="0027775D"/>
    <w:rsid w:val="00280A1D"/>
    <w:rsid w:val="00281448"/>
    <w:rsid w:val="002816BB"/>
    <w:rsid w:val="00281719"/>
    <w:rsid w:val="00281770"/>
    <w:rsid w:val="0029660D"/>
    <w:rsid w:val="002A080B"/>
    <w:rsid w:val="002A0AEF"/>
    <w:rsid w:val="002A4D5B"/>
    <w:rsid w:val="002A6B0E"/>
    <w:rsid w:val="002A7E6B"/>
    <w:rsid w:val="002B0412"/>
    <w:rsid w:val="002B1E87"/>
    <w:rsid w:val="002B4701"/>
    <w:rsid w:val="002B5846"/>
    <w:rsid w:val="002C4B45"/>
    <w:rsid w:val="002C5B2B"/>
    <w:rsid w:val="002C5D31"/>
    <w:rsid w:val="002C6CCF"/>
    <w:rsid w:val="002D56BB"/>
    <w:rsid w:val="002E2A2E"/>
    <w:rsid w:val="002E2EC2"/>
    <w:rsid w:val="002E501C"/>
    <w:rsid w:val="002E6C26"/>
    <w:rsid w:val="002E72F4"/>
    <w:rsid w:val="002F1D81"/>
    <w:rsid w:val="002F7A4E"/>
    <w:rsid w:val="00302CD8"/>
    <w:rsid w:val="003079B3"/>
    <w:rsid w:val="00310EF4"/>
    <w:rsid w:val="00312B7C"/>
    <w:rsid w:val="003170C4"/>
    <w:rsid w:val="00320873"/>
    <w:rsid w:val="003228D6"/>
    <w:rsid w:val="00325099"/>
    <w:rsid w:val="00330E49"/>
    <w:rsid w:val="00337006"/>
    <w:rsid w:val="00340F8F"/>
    <w:rsid w:val="0034270E"/>
    <w:rsid w:val="00347762"/>
    <w:rsid w:val="003514FB"/>
    <w:rsid w:val="003533E9"/>
    <w:rsid w:val="003543BA"/>
    <w:rsid w:val="00354BBC"/>
    <w:rsid w:val="003552CC"/>
    <w:rsid w:val="00357367"/>
    <w:rsid w:val="003601C5"/>
    <w:rsid w:val="003674F0"/>
    <w:rsid w:val="00367661"/>
    <w:rsid w:val="00370DAE"/>
    <w:rsid w:val="0037349F"/>
    <w:rsid w:val="00373517"/>
    <w:rsid w:val="00373A25"/>
    <w:rsid w:val="00375053"/>
    <w:rsid w:val="00383C36"/>
    <w:rsid w:val="0039339F"/>
    <w:rsid w:val="00393DFA"/>
    <w:rsid w:val="003A2A8B"/>
    <w:rsid w:val="003B0B8C"/>
    <w:rsid w:val="003C0604"/>
    <w:rsid w:val="003C1AFB"/>
    <w:rsid w:val="003C25FD"/>
    <w:rsid w:val="003C2B8D"/>
    <w:rsid w:val="003C3119"/>
    <w:rsid w:val="003C4EC7"/>
    <w:rsid w:val="003C51BD"/>
    <w:rsid w:val="003D264C"/>
    <w:rsid w:val="003E0E15"/>
    <w:rsid w:val="003E5366"/>
    <w:rsid w:val="003E6D16"/>
    <w:rsid w:val="004008E5"/>
    <w:rsid w:val="0040222A"/>
    <w:rsid w:val="00402485"/>
    <w:rsid w:val="00403EDB"/>
    <w:rsid w:val="00411164"/>
    <w:rsid w:val="00414A44"/>
    <w:rsid w:val="00415255"/>
    <w:rsid w:val="00417C35"/>
    <w:rsid w:val="004251CE"/>
    <w:rsid w:val="00430689"/>
    <w:rsid w:val="004407F4"/>
    <w:rsid w:val="00443837"/>
    <w:rsid w:val="00444DB5"/>
    <w:rsid w:val="00447C55"/>
    <w:rsid w:val="00450982"/>
    <w:rsid w:val="00452155"/>
    <w:rsid w:val="00455A9D"/>
    <w:rsid w:val="00456F84"/>
    <w:rsid w:val="00462248"/>
    <w:rsid w:val="004624DF"/>
    <w:rsid w:val="0046546D"/>
    <w:rsid w:val="00467529"/>
    <w:rsid w:val="004718BF"/>
    <w:rsid w:val="00471AD8"/>
    <w:rsid w:val="00473BAA"/>
    <w:rsid w:val="00475222"/>
    <w:rsid w:val="00476E86"/>
    <w:rsid w:val="0047752F"/>
    <w:rsid w:val="00482826"/>
    <w:rsid w:val="00482D08"/>
    <w:rsid w:val="00483067"/>
    <w:rsid w:val="00486FF7"/>
    <w:rsid w:val="004871BA"/>
    <w:rsid w:val="00490555"/>
    <w:rsid w:val="00491173"/>
    <w:rsid w:val="0049135F"/>
    <w:rsid w:val="00491498"/>
    <w:rsid w:val="004917EA"/>
    <w:rsid w:val="00495D49"/>
    <w:rsid w:val="0049702F"/>
    <w:rsid w:val="00497EE5"/>
    <w:rsid w:val="004A0B39"/>
    <w:rsid w:val="004A391C"/>
    <w:rsid w:val="004A3CD8"/>
    <w:rsid w:val="004A430F"/>
    <w:rsid w:val="004A4F51"/>
    <w:rsid w:val="004B4E9E"/>
    <w:rsid w:val="004B776C"/>
    <w:rsid w:val="004C28BC"/>
    <w:rsid w:val="004C39E4"/>
    <w:rsid w:val="004D085D"/>
    <w:rsid w:val="004D0909"/>
    <w:rsid w:val="004D5566"/>
    <w:rsid w:val="004D6AAD"/>
    <w:rsid w:val="004D7D11"/>
    <w:rsid w:val="004E07EC"/>
    <w:rsid w:val="004E0D37"/>
    <w:rsid w:val="004E41E1"/>
    <w:rsid w:val="004E5ED0"/>
    <w:rsid w:val="004E7214"/>
    <w:rsid w:val="004F4A5B"/>
    <w:rsid w:val="004F4B8F"/>
    <w:rsid w:val="00500CCF"/>
    <w:rsid w:val="00502636"/>
    <w:rsid w:val="005057F8"/>
    <w:rsid w:val="00506EA8"/>
    <w:rsid w:val="0051028D"/>
    <w:rsid w:val="00512838"/>
    <w:rsid w:val="00517104"/>
    <w:rsid w:val="00524A9A"/>
    <w:rsid w:val="00525DDE"/>
    <w:rsid w:val="00530E9A"/>
    <w:rsid w:val="0053569E"/>
    <w:rsid w:val="00541DEB"/>
    <w:rsid w:val="00542661"/>
    <w:rsid w:val="00544220"/>
    <w:rsid w:val="00544541"/>
    <w:rsid w:val="00547913"/>
    <w:rsid w:val="005550C1"/>
    <w:rsid w:val="00562B6D"/>
    <w:rsid w:val="0056376C"/>
    <w:rsid w:val="00571EBE"/>
    <w:rsid w:val="00575AE5"/>
    <w:rsid w:val="00575DE3"/>
    <w:rsid w:val="00575E08"/>
    <w:rsid w:val="0058128F"/>
    <w:rsid w:val="005838AE"/>
    <w:rsid w:val="00583FDC"/>
    <w:rsid w:val="00584387"/>
    <w:rsid w:val="00585585"/>
    <w:rsid w:val="00585CED"/>
    <w:rsid w:val="00594CDE"/>
    <w:rsid w:val="0059598F"/>
    <w:rsid w:val="00597B07"/>
    <w:rsid w:val="005A03FA"/>
    <w:rsid w:val="005A16FF"/>
    <w:rsid w:val="005A2A31"/>
    <w:rsid w:val="005A45C8"/>
    <w:rsid w:val="005A70A8"/>
    <w:rsid w:val="005B2247"/>
    <w:rsid w:val="005B2557"/>
    <w:rsid w:val="005B405B"/>
    <w:rsid w:val="005B4C92"/>
    <w:rsid w:val="005B6FC1"/>
    <w:rsid w:val="005B7CD0"/>
    <w:rsid w:val="005B7F85"/>
    <w:rsid w:val="005C3867"/>
    <w:rsid w:val="005C7900"/>
    <w:rsid w:val="005D0BC7"/>
    <w:rsid w:val="005D1A3E"/>
    <w:rsid w:val="005D45E4"/>
    <w:rsid w:val="005E3044"/>
    <w:rsid w:val="005E4F40"/>
    <w:rsid w:val="005E5983"/>
    <w:rsid w:val="005E66DD"/>
    <w:rsid w:val="005E7239"/>
    <w:rsid w:val="005E76CB"/>
    <w:rsid w:val="005E7E3B"/>
    <w:rsid w:val="005F0B89"/>
    <w:rsid w:val="005F1568"/>
    <w:rsid w:val="005F17E3"/>
    <w:rsid w:val="005F3AB5"/>
    <w:rsid w:val="005F6EF9"/>
    <w:rsid w:val="005F7885"/>
    <w:rsid w:val="006002C4"/>
    <w:rsid w:val="00602451"/>
    <w:rsid w:val="00603B67"/>
    <w:rsid w:val="00611F99"/>
    <w:rsid w:val="00613937"/>
    <w:rsid w:val="00614405"/>
    <w:rsid w:val="0061458F"/>
    <w:rsid w:val="006152B9"/>
    <w:rsid w:val="006157D3"/>
    <w:rsid w:val="0062191C"/>
    <w:rsid w:val="006219F0"/>
    <w:rsid w:val="00622A13"/>
    <w:rsid w:val="00623769"/>
    <w:rsid w:val="006247D6"/>
    <w:rsid w:val="00624AF4"/>
    <w:rsid w:val="0062610F"/>
    <w:rsid w:val="00626F1B"/>
    <w:rsid w:val="00632D39"/>
    <w:rsid w:val="0063576E"/>
    <w:rsid w:val="00637491"/>
    <w:rsid w:val="006416ED"/>
    <w:rsid w:val="00643CB2"/>
    <w:rsid w:val="006442CC"/>
    <w:rsid w:val="00644D42"/>
    <w:rsid w:val="006460F3"/>
    <w:rsid w:val="00646671"/>
    <w:rsid w:val="00651EF7"/>
    <w:rsid w:val="006520EA"/>
    <w:rsid w:val="006526DF"/>
    <w:rsid w:val="006568C3"/>
    <w:rsid w:val="00662571"/>
    <w:rsid w:val="0066266C"/>
    <w:rsid w:val="00665124"/>
    <w:rsid w:val="00665BE5"/>
    <w:rsid w:val="00667494"/>
    <w:rsid w:val="0067216E"/>
    <w:rsid w:val="00673D68"/>
    <w:rsid w:val="006744B0"/>
    <w:rsid w:val="0067764B"/>
    <w:rsid w:val="00681AB2"/>
    <w:rsid w:val="006821EA"/>
    <w:rsid w:val="006874B2"/>
    <w:rsid w:val="006901B4"/>
    <w:rsid w:val="006902C2"/>
    <w:rsid w:val="00693CDD"/>
    <w:rsid w:val="00697A20"/>
    <w:rsid w:val="006A2FA5"/>
    <w:rsid w:val="006A4789"/>
    <w:rsid w:val="006B248D"/>
    <w:rsid w:val="006B5EC8"/>
    <w:rsid w:val="006B757D"/>
    <w:rsid w:val="006B7C54"/>
    <w:rsid w:val="006C1241"/>
    <w:rsid w:val="006C56F7"/>
    <w:rsid w:val="006D0708"/>
    <w:rsid w:val="006D1508"/>
    <w:rsid w:val="006D1C22"/>
    <w:rsid w:val="006D5334"/>
    <w:rsid w:val="006D6A41"/>
    <w:rsid w:val="006E43E3"/>
    <w:rsid w:val="006E5085"/>
    <w:rsid w:val="006F312F"/>
    <w:rsid w:val="006F44CB"/>
    <w:rsid w:val="00700389"/>
    <w:rsid w:val="007016F3"/>
    <w:rsid w:val="00703EBA"/>
    <w:rsid w:val="0070556D"/>
    <w:rsid w:val="00706130"/>
    <w:rsid w:val="00712313"/>
    <w:rsid w:val="00712BFE"/>
    <w:rsid w:val="00717588"/>
    <w:rsid w:val="00720A17"/>
    <w:rsid w:val="007237C9"/>
    <w:rsid w:val="00724050"/>
    <w:rsid w:val="007241D2"/>
    <w:rsid w:val="0072755A"/>
    <w:rsid w:val="007309AF"/>
    <w:rsid w:val="007315CE"/>
    <w:rsid w:val="00733927"/>
    <w:rsid w:val="00734580"/>
    <w:rsid w:val="00734F39"/>
    <w:rsid w:val="00740513"/>
    <w:rsid w:val="007446D9"/>
    <w:rsid w:val="00750C9E"/>
    <w:rsid w:val="00751E01"/>
    <w:rsid w:val="007524C8"/>
    <w:rsid w:val="00756F81"/>
    <w:rsid w:val="00761DC4"/>
    <w:rsid w:val="00763F4F"/>
    <w:rsid w:val="00767347"/>
    <w:rsid w:val="00770F60"/>
    <w:rsid w:val="00777C63"/>
    <w:rsid w:val="0078118D"/>
    <w:rsid w:val="00782C96"/>
    <w:rsid w:val="00783D4C"/>
    <w:rsid w:val="00783E10"/>
    <w:rsid w:val="007842A7"/>
    <w:rsid w:val="007910AE"/>
    <w:rsid w:val="007911A0"/>
    <w:rsid w:val="00792197"/>
    <w:rsid w:val="00792AFE"/>
    <w:rsid w:val="007940B9"/>
    <w:rsid w:val="00795398"/>
    <w:rsid w:val="007A27AE"/>
    <w:rsid w:val="007A621D"/>
    <w:rsid w:val="007B0BDA"/>
    <w:rsid w:val="007B176B"/>
    <w:rsid w:val="007C24EC"/>
    <w:rsid w:val="007C3AAD"/>
    <w:rsid w:val="007C7B86"/>
    <w:rsid w:val="007D1093"/>
    <w:rsid w:val="007D2A3A"/>
    <w:rsid w:val="007D5AD1"/>
    <w:rsid w:val="007D5B5E"/>
    <w:rsid w:val="007D7EFD"/>
    <w:rsid w:val="007E08EC"/>
    <w:rsid w:val="007E1BCC"/>
    <w:rsid w:val="007E2AB2"/>
    <w:rsid w:val="007E33D6"/>
    <w:rsid w:val="007E7429"/>
    <w:rsid w:val="007F093B"/>
    <w:rsid w:val="007F3A8B"/>
    <w:rsid w:val="007F6829"/>
    <w:rsid w:val="00800265"/>
    <w:rsid w:val="0080537F"/>
    <w:rsid w:val="008068E9"/>
    <w:rsid w:val="00810BE8"/>
    <w:rsid w:val="00814005"/>
    <w:rsid w:val="00814FF0"/>
    <w:rsid w:val="00817682"/>
    <w:rsid w:val="00824D73"/>
    <w:rsid w:val="00824E8C"/>
    <w:rsid w:val="008278DD"/>
    <w:rsid w:val="008308CD"/>
    <w:rsid w:val="0083133C"/>
    <w:rsid w:val="008369BE"/>
    <w:rsid w:val="00837A5E"/>
    <w:rsid w:val="00851857"/>
    <w:rsid w:val="0086004A"/>
    <w:rsid w:val="00863942"/>
    <w:rsid w:val="00863EAF"/>
    <w:rsid w:val="00867135"/>
    <w:rsid w:val="008676E8"/>
    <w:rsid w:val="0087121D"/>
    <w:rsid w:val="00871300"/>
    <w:rsid w:val="0087716A"/>
    <w:rsid w:val="00881BFC"/>
    <w:rsid w:val="008825A2"/>
    <w:rsid w:val="008868EC"/>
    <w:rsid w:val="00891B55"/>
    <w:rsid w:val="00893133"/>
    <w:rsid w:val="00893AEC"/>
    <w:rsid w:val="00894877"/>
    <w:rsid w:val="0089583C"/>
    <w:rsid w:val="00896593"/>
    <w:rsid w:val="00896921"/>
    <w:rsid w:val="008A21E6"/>
    <w:rsid w:val="008B1E21"/>
    <w:rsid w:val="008B602B"/>
    <w:rsid w:val="008B6CB7"/>
    <w:rsid w:val="008C742D"/>
    <w:rsid w:val="008D0177"/>
    <w:rsid w:val="008D4470"/>
    <w:rsid w:val="008D50BA"/>
    <w:rsid w:val="008E068A"/>
    <w:rsid w:val="008E21BE"/>
    <w:rsid w:val="008E6223"/>
    <w:rsid w:val="008E62AA"/>
    <w:rsid w:val="008E670C"/>
    <w:rsid w:val="008F3BD2"/>
    <w:rsid w:val="008F49F5"/>
    <w:rsid w:val="00903421"/>
    <w:rsid w:val="009056D9"/>
    <w:rsid w:val="009077CD"/>
    <w:rsid w:val="009101DB"/>
    <w:rsid w:val="00912741"/>
    <w:rsid w:val="009153BD"/>
    <w:rsid w:val="00922AEB"/>
    <w:rsid w:val="00922EAD"/>
    <w:rsid w:val="00922F14"/>
    <w:rsid w:val="00927EFC"/>
    <w:rsid w:val="009337BC"/>
    <w:rsid w:val="00935E3A"/>
    <w:rsid w:val="0093724C"/>
    <w:rsid w:val="009416A9"/>
    <w:rsid w:val="00944DFA"/>
    <w:rsid w:val="0094711E"/>
    <w:rsid w:val="00952DE8"/>
    <w:rsid w:val="00971311"/>
    <w:rsid w:val="00973A2F"/>
    <w:rsid w:val="00974FA5"/>
    <w:rsid w:val="00981E44"/>
    <w:rsid w:val="0098291D"/>
    <w:rsid w:val="00983E89"/>
    <w:rsid w:val="009866B9"/>
    <w:rsid w:val="00990E0A"/>
    <w:rsid w:val="00992702"/>
    <w:rsid w:val="00993C5C"/>
    <w:rsid w:val="0099497E"/>
    <w:rsid w:val="00994CAF"/>
    <w:rsid w:val="009A1762"/>
    <w:rsid w:val="009A1984"/>
    <w:rsid w:val="009A1AA4"/>
    <w:rsid w:val="009A28C7"/>
    <w:rsid w:val="009A28CA"/>
    <w:rsid w:val="009A600B"/>
    <w:rsid w:val="009B0076"/>
    <w:rsid w:val="009B1CEE"/>
    <w:rsid w:val="009B32BB"/>
    <w:rsid w:val="009C0271"/>
    <w:rsid w:val="009C04C2"/>
    <w:rsid w:val="009C3620"/>
    <w:rsid w:val="009C416B"/>
    <w:rsid w:val="009C5404"/>
    <w:rsid w:val="009D2148"/>
    <w:rsid w:val="009D32CD"/>
    <w:rsid w:val="009D3AF0"/>
    <w:rsid w:val="009D613A"/>
    <w:rsid w:val="009D665E"/>
    <w:rsid w:val="009D69E5"/>
    <w:rsid w:val="009E538D"/>
    <w:rsid w:val="009E5D33"/>
    <w:rsid w:val="009E68A3"/>
    <w:rsid w:val="009F005C"/>
    <w:rsid w:val="009F0620"/>
    <w:rsid w:val="009F23F8"/>
    <w:rsid w:val="00A00130"/>
    <w:rsid w:val="00A02115"/>
    <w:rsid w:val="00A0232B"/>
    <w:rsid w:val="00A039C4"/>
    <w:rsid w:val="00A0717A"/>
    <w:rsid w:val="00A10139"/>
    <w:rsid w:val="00A10473"/>
    <w:rsid w:val="00A10E34"/>
    <w:rsid w:val="00A13B22"/>
    <w:rsid w:val="00A14F3C"/>
    <w:rsid w:val="00A15984"/>
    <w:rsid w:val="00A25C7F"/>
    <w:rsid w:val="00A2609F"/>
    <w:rsid w:val="00A2632A"/>
    <w:rsid w:val="00A27D3B"/>
    <w:rsid w:val="00A30B34"/>
    <w:rsid w:val="00A347AB"/>
    <w:rsid w:val="00A36069"/>
    <w:rsid w:val="00A36ACC"/>
    <w:rsid w:val="00A36CED"/>
    <w:rsid w:val="00A41971"/>
    <w:rsid w:val="00A447DB"/>
    <w:rsid w:val="00A4563A"/>
    <w:rsid w:val="00A50D88"/>
    <w:rsid w:val="00A52D1D"/>
    <w:rsid w:val="00A54B13"/>
    <w:rsid w:val="00A5571F"/>
    <w:rsid w:val="00A57CA7"/>
    <w:rsid w:val="00A57FAF"/>
    <w:rsid w:val="00A66B91"/>
    <w:rsid w:val="00A675BD"/>
    <w:rsid w:val="00A710C8"/>
    <w:rsid w:val="00A77DEE"/>
    <w:rsid w:val="00A80119"/>
    <w:rsid w:val="00A82704"/>
    <w:rsid w:val="00A83082"/>
    <w:rsid w:val="00A93159"/>
    <w:rsid w:val="00A9697D"/>
    <w:rsid w:val="00A96E6E"/>
    <w:rsid w:val="00AB38F1"/>
    <w:rsid w:val="00AB3971"/>
    <w:rsid w:val="00AB3B72"/>
    <w:rsid w:val="00AC111B"/>
    <w:rsid w:val="00AC1286"/>
    <w:rsid w:val="00AC1953"/>
    <w:rsid w:val="00AC2277"/>
    <w:rsid w:val="00AC6AC3"/>
    <w:rsid w:val="00AD05B7"/>
    <w:rsid w:val="00AD071B"/>
    <w:rsid w:val="00AD0CB1"/>
    <w:rsid w:val="00AD148A"/>
    <w:rsid w:val="00AD3FB8"/>
    <w:rsid w:val="00AD7115"/>
    <w:rsid w:val="00AD7B02"/>
    <w:rsid w:val="00AD7BCD"/>
    <w:rsid w:val="00AE217A"/>
    <w:rsid w:val="00AE3C10"/>
    <w:rsid w:val="00AE48E0"/>
    <w:rsid w:val="00AE4AA9"/>
    <w:rsid w:val="00AF13BD"/>
    <w:rsid w:val="00AF2E18"/>
    <w:rsid w:val="00AF72EA"/>
    <w:rsid w:val="00AF7B33"/>
    <w:rsid w:val="00B008B2"/>
    <w:rsid w:val="00B03422"/>
    <w:rsid w:val="00B07E31"/>
    <w:rsid w:val="00B10FBC"/>
    <w:rsid w:val="00B14B57"/>
    <w:rsid w:val="00B16007"/>
    <w:rsid w:val="00B1667D"/>
    <w:rsid w:val="00B1706E"/>
    <w:rsid w:val="00B21055"/>
    <w:rsid w:val="00B23B43"/>
    <w:rsid w:val="00B2453C"/>
    <w:rsid w:val="00B321CB"/>
    <w:rsid w:val="00B35E53"/>
    <w:rsid w:val="00B401E3"/>
    <w:rsid w:val="00B40A29"/>
    <w:rsid w:val="00B41868"/>
    <w:rsid w:val="00B428C5"/>
    <w:rsid w:val="00B460C3"/>
    <w:rsid w:val="00B465A6"/>
    <w:rsid w:val="00B47A64"/>
    <w:rsid w:val="00B5513C"/>
    <w:rsid w:val="00B57D67"/>
    <w:rsid w:val="00B62996"/>
    <w:rsid w:val="00B631E5"/>
    <w:rsid w:val="00B638D6"/>
    <w:rsid w:val="00B70CAA"/>
    <w:rsid w:val="00B71C97"/>
    <w:rsid w:val="00B7230E"/>
    <w:rsid w:val="00B7254B"/>
    <w:rsid w:val="00B7256E"/>
    <w:rsid w:val="00B76BD7"/>
    <w:rsid w:val="00B77A9D"/>
    <w:rsid w:val="00B80EF3"/>
    <w:rsid w:val="00B838FE"/>
    <w:rsid w:val="00B874C9"/>
    <w:rsid w:val="00B916F3"/>
    <w:rsid w:val="00BA1016"/>
    <w:rsid w:val="00BA1D0E"/>
    <w:rsid w:val="00BA4EDC"/>
    <w:rsid w:val="00BA74B1"/>
    <w:rsid w:val="00BA7CB6"/>
    <w:rsid w:val="00BB2F66"/>
    <w:rsid w:val="00BB7273"/>
    <w:rsid w:val="00BB7336"/>
    <w:rsid w:val="00BC1F67"/>
    <w:rsid w:val="00BC62BC"/>
    <w:rsid w:val="00BD18D2"/>
    <w:rsid w:val="00BD2F76"/>
    <w:rsid w:val="00BD7B02"/>
    <w:rsid w:val="00BE0875"/>
    <w:rsid w:val="00BE209A"/>
    <w:rsid w:val="00BE5881"/>
    <w:rsid w:val="00BF19D6"/>
    <w:rsid w:val="00BF1FC9"/>
    <w:rsid w:val="00BF24DB"/>
    <w:rsid w:val="00C01A48"/>
    <w:rsid w:val="00C02494"/>
    <w:rsid w:val="00C044C3"/>
    <w:rsid w:val="00C12D7A"/>
    <w:rsid w:val="00C17101"/>
    <w:rsid w:val="00C2401D"/>
    <w:rsid w:val="00C2456D"/>
    <w:rsid w:val="00C25EFF"/>
    <w:rsid w:val="00C3193C"/>
    <w:rsid w:val="00C350F5"/>
    <w:rsid w:val="00C36390"/>
    <w:rsid w:val="00C37FC2"/>
    <w:rsid w:val="00C4689D"/>
    <w:rsid w:val="00C47D80"/>
    <w:rsid w:val="00C52648"/>
    <w:rsid w:val="00C538E1"/>
    <w:rsid w:val="00C539CE"/>
    <w:rsid w:val="00C64A16"/>
    <w:rsid w:val="00C679D4"/>
    <w:rsid w:val="00C67EBE"/>
    <w:rsid w:val="00C71FD8"/>
    <w:rsid w:val="00C80B9B"/>
    <w:rsid w:val="00C81B57"/>
    <w:rsid w:val="00C838AD"/>
    <w:rsid w:val="00C844F2"/>
    <w:rsid w:val="00C8482B"/>
    <w:rsid w:val="00C867DC"/>
    <w:rsid w:val="00C86E65"/>
    <w:rsid w:val="00C87301"/>
    <w:rsid w:val="00C87A09"/>
    <w:rsid w:val="00C9149A"/>
    <w:rsid w:val="00C92103"/>
    <w:rsid w:val="00C97712"/>
    <w:rsid w:val="00C97E5A"/>
    <w:rsid w:val="00CA13CD"/>
    <w:rsid w:val="00CA258A"/>
    <w:rsid w:val="00CA5EF4"/>
    <w:rsid w:val="00CB199E"/>
    <w:rsid w:val="00CB66B6"/>
    <w:rsid w:val="00CB7E99"/>
    <w:rsid w:val="00CC2B0B"/>
    <w:rsid w:val="00CC6E08"/>
    <w:rsid w:val="00CD0F80"/>
    <w:rsid w:val="00CD1804"/>
    <w:rsid w:val="00CD18EB"/>
    <w:rsid w:val="00CD6431"/>
    <w:rsid w:val="00CD6C58"/>
    <w:rsid w:val="00CD7AF5"/>
    <w:rsid w:val="00CE514D"/>
    <w:rsid w:val="00CE603D"/>
    <w:rsid w:val="00CE61B0"/>
    <w:rsid w:val="00CE7276"/>
    <w:rsid w:val="00CF10C3"/>
    <w:rsid w:val="00CF5C7F"/>
    <w:rsid w:val="00D01528"/>
    <w:rsid w:val="00D02382"/>
    <w:rsid w:val="00D02BE4"/>
    <w:rsid w:val="00D03DAC"/>
    <w:rsid w:val="00D04F9A"/>
    <w:rsid w:val="00D1232F"/>
    <w:rsid w:val="00D12C1A"/>
    <w:rsid w:val="00D12C9D"/>
    <w:rsid w:val="00D130CA"/>
    <w:rsid w:val="00D141FE"/>
    <w:rsid w:val="00D1530A"/>
    <w:rsid w:val="00D25E15"/>
    <w:rsid w:val="00D26533"/>
    <w:rsid w:val="00D35C4D"/>
    <w:rsid w:val="00D37498"/>
    <w:rsid w:val="00D4561A"/>
    <w:rsid w:val="00D473FF"/>
    <w:rsid w:val="00D5011F"/>
    <w:rsid w:val="00D52D32"/>
    <w:rsid w:val="00D5493D"/>
    <w:rsid w:val="00D57872"/>
    <w:rsid w:val="00D613E2"/>
    <w:rsid w:val="00D62CD8"/>
    <w:rsid w:val="00D67BFE"/>
    <w:rsid w:val="00D70367"/>
    <w:rsid w:val="00D742E5"/>
    <w:rsid w:val="00D76085"/>
    <w:rsid w:val="00D830FB"/>
    <w:rsid w:val="00D84219"/>
    <w:rsid w:val="00D851E6"/>
    <w:rsid w:val="00D906D2"/>
    <w:rsid w:val="00D93C23"/>
    <w:rsid w:val="00DA0DC2"/>
    <w:rsid w:val="00DA7CF4"/>
    <w:rsid w:val="00DB30FE"/>
    <w:rsid w:val="00DB5019"/>
    <w:rsid w:val="00DC1F71"/>
    <w:rsid w:val="00DC1FEA"/>
    <w:rsid w:val="00DC405A"/>
    <w:rsid w:val="00DC5E8F"/>
    <w:rsid w:val="00DC6234"/>
    <w:rsid w:val="00DC7D34"/>
    <w:rsid w:val="00DD06EA"/>
    <w:rsid w:val="00DD2108"/>
    <w:rsid w:val="00DD24A1"/>
    <w:rsid w:val="00DD4495"/>
    <w:rsid w:val="00DD5993"/>
    <w:rsid w:val="00DD5F93"/>
    <w:rsid w:val="00DD6C8F"/>
    <w:rsid w:val="00DD7699"/>
    <w:rsid w:val="00DD7B3A"/>
    <w:rsid w:val="00DE2558"/>
    <w:rsid w:val="00DE4F36"/>
    <w:rsid w:val="00DF0048"/>
    <w:rsid w:val="00DF6576"/>
    <w:rsid w:val="00DF783D"/>
    <w:rsid w:val="00DF7CAC"/>
    <w:rsid w:val="00E00428"/>
    <w:rsid w:val="00E25D34"/>
    <w:rsid w:val="00E267F6"/>
    <w:rsid w:val="00E36F5F"/>
    <w:rsid w:val="00E41466"/>
    <w:rsid w:val="00E4327D"/>
    <w:rsid w:val="00E46294"/>
    <w:rsid w:val="00E50CE3"/>
    <w:rsid w:val="00E50D14"/>
    <w:rsid w:val="00E51E26"/>
    <w:rsid w:val="00E5233C"/>
    <w:rsid w:val="00E57A4A"/>
    <w:rsid w:val="00E628C6"/>
    <w:rsid w:val="00E64888"/>
    <w:rsid w:val="00E661E4"/>
    <w:rsid w:val="00E70A01"/>
    <w:rsid w:val="00E72502"/>
    <w:rsid w:val="00E73AD2"/>
    <w:rsid w:val="00E73D77"/>
    <w:rsid w:val="00E81961"/>
    <w:rsid w:val="00E82A9E"/>
    <w:rsid w:val="00E82DF7"/>
    <w:rsid w:val="00E83F6E"/>
    <w:rsid w:val="00E859FC"/>
    <w:rsid w:val="00E91B26"/>
    <w:rsid w:val="00E9440B"/>
    <w:rsid w:val="00E946DE"/>
    <w:rsid w:val="00E94CDB"/>
    <w:rsid w:val="00E950C7"/>
    <w:rsid w:val="00EA16D7"/>
    <w:rsid w:val="00EA7579"/>
    <w:rsid w:val="00EB1C99"/>
    <w:rsid w:val="00EB444A"/>
    <w:rsid w:val="00EB5A70"/>
    <w:rsid w:val="00EC18A5"/>
    <w:rsid w:val="00ED22F3"/>
    <w:rsid w:val="00ED4786"/>
    <w:rsid w:val="00ED4EBC"/>
    <w:rsid w:val="00ED6268"/>
    <w:rsid w:val="00ED66B2"/>
    <w:rsid w:val="00ED7130"/>
    <w:rsid w:val="00ED716A"/>
    <w:rsid w:val="00ED7B49"/>
    <w:rsid w:val="00EE03B5"/>
    <w:rsid w:val="00EE1475"/>
    <w:rsid w:val="00EE1CE7"/>
    <w:rsid w:val="00EE4EEC"/>
    <w:rsid w:val="00EE69C5"/>
    <w:rsid w:val="00EF074C"/>
    <w:rsid w:val="00EF0E4B"/>
    <w:rsid w:val="00EF19D8"/>
    <w:rsid w:val="00EF60FD"/>
    <w:rsid w:val="00F02BD3"/>
    <w:rsid w:val="00F04ED9"/>
    <w:rsid w:val="00F05760"/>
    <w:rsid w:val="00F21169"/>
    <w:rsid w:val="00F21542"/>
    <w:rsid w:val="00F2197E"/>
    <w:rsid w:val="00F26519"/>
    <w:rsid w:val="00F307E1"/>
    <w:rsid w:val="00F345D5"/>
    <w:rsid w:val="00F4113B"/>
    <w:rsid w:val="00F41225"/>
    <w:rsid w:val="00F4704B"/>
    <w:rsid w:val="00F50A28"/>
    <w:rsid w:val="00F54C4B"/>
    <w:rsid w:val="00F558CA"/>
    <w:rsid w:val="00F57680"/>
    <w:rsid w:val="00F62911"/>
    <w:rsid w:val="00F6598D"/>
    <w:rsid w:val="00F65A6C"/>
    <w:rsid w:val="00F67410"/>
    <w:rsid w:val="00F70B7F"/>
    <w:rsid w:val="00F70B9D"/>
    <w:rsid w:val="00F70BD5"/>
    <w:rsid w:val="00F7220B"/>
    <w:rsid w:val="00F73CC1"/>
    <w:rsid w:val="00F76AC6"/>
    <w:rsid w:val="00F7787E"/>
    <w:rsid w:val="00F77CFC"/>
    <w:rsid w:val="00F82E6A"/>
    <w:rsid w:val="00F90648"/>
    <w:rsid w:val="00F90A47"/>
    <w:rsid w:val="00F93B77"/>
    <w:rsid w:val="00FA014C"/>
    <w:rsid w:val="00FA3373"/>
    <w:rsid w:val="00FA3BFB"/>
    <w:rsid w:val="00FA6593"/>
    <w:rsid w:val="00FB2083"/>
    <w:rsid w:val="00FB2844"/>
    <w:rsid w:val="00FB396A"/>
    <w:rsid w:val="00FB3DB5"/>
    <w:rsid w:val="00FB557C"/>
    <w:rsid w:val="00FC081C"/>
    <w:rsid w:val="00FC32C3"/>
    <w:rsid w:val="00FC335B"/>
    <w:rsid w:val="00FC74B2"/>
    <w:rsid w:val="00FD1485"/>
    <w:rsid w:val="00FD1A2C"/>
    <w:rsid w:val="00FD26D8"/>
    <w:rsid w:val="00FD39F7"/>
    <w:rsid w:val="00FD3A2F"/>
    <w:rsid w:val="00FD4BF1"/>
    <w:rsid w:val="00FD6701"/>
    <w:rsid w:val="00FE10A5"/>
    <w:rsid w:val="00FE389D"/>
    <w:rsid w:val="00FE53D9"/>
    <w:rsid w:val="00FE5650"/>
    <w:rsid w:val="00FE58D6"/>
    <w:rsid w:val="00FE6065"/>
    <w:rsid w:val="00FF103E"/>
    <w:rsid w:val="00FF1575"/>
    <w:rsid w:val="00FF4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A26F9"/>
  <w15:docId w15:val="{A3E3B45E-6111-4904-A381-DE041ABA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A2F"/>
    <w:pPr>
      <w:ind w:left="720"/>
      <w:contextualSpacing/>
    </w:pPr>
  </w:style>
  <w:style w:type="character" w:styleId="PlaceholderText">
    <w:name w:val="Placeholder Text"/>
    <w:basedOn w:val="DefaultParagraphFont"/>
    <w:uiPriority w:val="99"/>
    <w:semiHidden/>
    <w:rsid w:val="005B4C92"/>
    <w:rPr>
      <w:color w:val="808080"/>
    </w:rPr>
  </w:style>
  <w:style w:type="paragraph" w:styleId="BalloonText">
    <w:name w:val="Balloon Text"/>
    <w:basedOn w:val="Normal"/>
    <w:link w:val="BalloonTextChar"/>
    <w:uiPriority w:val="99"/>
    <w:semiHidden/>
    <w:unhideWhenUsed/>
    <w:rsid w:val="00AD7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BCD"/>
    <w:rPr>
      <w:rFonts w:ascii="Tahoma" w:hAnsi="Tahoma" w:cs="Tahoma"/>
      <w:sz w:val="16"/>
      <w:szCs w:val="16"/>
    </w:rPr>
  </w:style>
  <w:style w:type="character" w:styleId="Hyperlink">
    <w:name w:val="Hyperlink"/>
    <w:basedOn w:val="DefaultParagraphFont"/>
    <w:uiPriority w:val="99"/>
    <w:semiHidden/>
    <w:unhideWhenUsed/>
    <w:rsid w:val="00602451"/>
    <w:rPr>
      <w:color w:val="0000FF"/>
      <w:u w:val="single"/>
    </w:rPr>
  </w:style>
  <w:style w:type="paragraph" w:styleId="HTMLPreformatted">
    <w:name w:val="HTML Preformatted"/>
    <w:basedOn w:val="Normal"/>
    <w:link w:val="HTMLPreformattedChar"/>
    <w:uiPriority w:val="99"/>
    <w:semiHidden/>
    <w:unhideWhenUsed/>
    <w:rsid w:val="00017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176DB"/>
    <w:rPr>
      <w:rFonts w:ascii="Courier New" w:eastAsia="Times New Roman" w:hAnsi="Courier New" w:cs="Courier New"/>
      <w:sz w:val="20"/>
      <w:szCs w:val="20"/>
      <w:lang w:eastAsia="en-GB"/>
    </w:rPr>
  </w:style>
  <w:style w:type="character" w:styleId="Emphasis">
    <w:name w:val="Emphasis"/>
    <w:basedOn w:val="DefaultParagraphFont"/>
    <w:uiPriority w:val="20"/>
    <w:qFormat/>
    <w:rsid w:val="00CE61B0"/>
    <w:rPr>
      <w:i/>
      <w:iCs/>
    </w:rPr>
  </w:style>
  <w:style w:type="paragraph" w:styleId="FootnoteText">
    <w:name w:val="footnote text"/>
    <w:basedOn w:val="Normal"/>
    <w:link w:val="FootnoteTextChar"/>
    <w:uiPriority w:val="99"/>
    <w:unhideWhenUsed/>
    <w:rsid w:val="00983E89"/>
    <w:pPr>
      <w:spacing w:after="0" w:line="240" w:lineRule="auto"/>
    </w:pPr>
    <w:rPr>
      <w:sz w:val="20"/>
      <w:szCs w:val="20"/>
    </w:rPr>
  </w:style>
  <w:style w:type="character" w:customStyle="1" w:styleId="FootnoteTextChar">
    <w:name w:val="Footnote Text Char"/>
    <w:basedOn w:val="DefaultParagraphFont"/>
    <w:link w:val="FootnoteText"/>
    <w:uiPriority w:val="99"/>
    <w:rsid w:val="00983E89"/>
    <w:rPr>
      <w:sz w:val="20"/>
      <w:szCs w:val="20"/>
    </w:rPr>
  </w:style>
  <w:style w:type="character" w:styleId="FootnoteReference">
    <w:name w:val="footnote reference"/>
    <w:basedOn w:val="DefaultParagraphFont"/>
    <w:uiPriority w:val="99"/>
    <w:semiHidden/>
    <w:unhideWhenUsed/>
    <w:rsid w:val="00983E89"/>
    <w:rPr>
      <w:vertAlign w:val="superscript"/>
    </w:rPr>
  </w:style>
  <w:style w:type="paragraph" w:customStyle="1" w:styleId="Default">
    <w:name w:val="Default"/>
    <w:rsid w:val="00C02494"/>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mods-title">
    <w:name w:val="mods-title"/>
    <w:basedOn w:val="DefaultParagraphFont"/>
    <w:rsid w:val="00B874C9"/>
  </w:style>
  <w:style w:type="paragraph" w:styleId="Bibliography">
    <w:name w:val="Bibliography"/>
    <w:basedOn w:val="Normal"/>
    <w:next w:val="Normal"/>
    <w:uiPriority w:val="37"/>
    <w:semiHidden/>
    <w:unhideWhenUsed/>
    <w:rsid w:val="00D12C1A"/>
  </w:style>
  <w:style w:type="paragraph" w:styleId="Header">
    <w:name w:val="header"/>
    <w:basedOn w:val="Normal"/>
    <w:link w:val="HeaderChar"/>
    <w:uiPriority w:val="99"/>
    <w:unhideWhenUsed/>
    <w:rsid w:val="00AD7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B02"/>
  </w:style>
  <w:style w:type="paragraph" w:styleId="Footer">
    <w:name w:val="footer"/>
    <w:basedOn w:val="Normal"/>
    <w:link w:val="FooterChar"/>
    <w:uiPriority w:val="99"/>
    <w:unhideWhenUsed/>
    <w:rsid w:val="00AD7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B02"/>
  </w:style>
  <w:style w:type="paragraph" w:styleId="NormalWeb">
    <w:name w:val="Normal (Web)"/>
    <w:basedOn w:val="Normal"/>
    <w:uiPriority w:val="99"/>
    <w:unhideWhenUsed/>
    <w:rsid w:val="00D04F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CB7E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7E99"/>
    <w:rPr>
      <w:sz w:val="20"/>
      <w:szCs w:val="20"/>
    </w:rPr>
  </w:style>
  <w:style w:type="character" w:styleId="EndnoteReference">
    <w:name w:val="endnote reference"/>
    <w:basedOn w:val="DefaultParagraphFont"/>
    <w:uiPriority w:val="99"/>
    <w:semiHidden/>
    <w:unhideWhenUsed/>
    <w:rsid w:val="00CB7E99"/>
    <w:rPr>
      <w:vertAlign w:val="superscript"/>
    </w:rPr>
  </w:style>
  <w:style w:type="character" w:styleId="Strong">
    <w:name w:val="Strong"/>
    <w:basedOn w:val="DefaultParagraphFont"/>
    <w:uiPriority w:val="22"/>
    <w:qFormat/>
    <w:rsid w:val="007D5B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923380">
      <w:bodyDiv w:val="1"/>
      <w:marLeft w:val="0"/>
      <w:marRight w:val="0"/>
      <w:marTop w:val="0"/>
      <w:marBottom w:val="0"/>
      <w:divBdr>
        <w:top w:val="none" w:sz="0" w:space="0" w:color="auto"/>
        <w:left w:val="none" w:sz="0" w:space="0" w:color="auto"/>
        <w:bottom w:val="none" w:sz="0" w:space="0" w:color="auto"/>
        <w:right w:val="none" w:sz="0" w:space="0" w:color="auto"/>
      </w:divBdr>
      <w:divsChild>
        <w:div w:id="718017827">
          <w:marLeft w:val="720"/>
          <w:marRight w:val="0"/>
          <w:marTop w:val="120"/>
          <w:marBottom w:val="120"/>
          <w:divBdr>
            <w:top w:val="none" w:sz="0" w:space="0" w:color="auto"/>
            <w:left w:val="none" w:sz="0" w:space="0" w:color="auto"/>
            <w:bottom w:val="none" w:sz="0" w:space="0" w:color="auto"/>
            <w:right w:val="none" w:sz="0" w:space="0" w:color="auto"/>
          </w:divBdr>
        </w:div>
        <w:div w:id="1534227276">
          <w:marLeft w:val="994"/>
          <w:marRight w:val="0"/>
          <w:marTop w:val="120"/>
          <w:marBottom w:val="120"/>
          <w:divBdr>
            <w:top w:val="none" w:sz="0" w:space="0" w:color="auto"/>
            <w:left w:val="none" w:sz="0" w:space="0" w:color="auto"/>
            <w:bottom w:val="none" w:sz="0" w:space="0" w:color="auto"/>
            <w:right w:val="none" w:sz="0" w:space="0" w:color="auto"/>
          </w:divBdr>
        </w:div>
        <w:div w:id="92675503">
          <w:marLeft w:val="994"/>
          <w:marRight w:val="0"/>
          <w:marTop w:val="120"/>
          <w:marBottom w:val="120"/>
          <w:divBdr>
            <w:top w:val="none" w:sz="0" w:space="0" w:color="auto"/>
            <w:left w:val="none" w:sz="0" w:space="0" w:color="auto"/>
            <w:bottom w:val="none" w:sz="0" w:space="0" w:color="auto"/>
            <w:right w:val="none" w:sz="0" w:space="0" w:color="auto"/>
          </w:divBdr>
        </w:div>
        <w:div w:id="1924145937">
          <w:marLeft w:val="994"/>
          <w:marRight w:val="0"/>
          <w:marTop w:val="120"/>
          <w:marBottom w:val="120"/>
          <w:divBdr>
            <w:top w:val="none" w:sz="0" w:space="0" w:color="auto"/>
            <w:left w:val="none" w:sz="0" w:space="0" w:color="auto"/>
            <w:bottom w:val="none" w:sz="0" w:space="0" w:color="auto"/>
            <w:right w:val="none" w:sz="0" w:space="0" w:color="auto"/>
          </w:divBdr>
        </w:div>
        <w:div w:id="1890190761">
          <w:marLeft w:val="720"/>
          <w:marRight w:val="0"/>
          <w:marTop w:val="120"/>
          <w:marBottom w:val="120"/>
          <w:divBdr>
            <w:top w:val="none" w:sz="0" w:space="0" w:color="auto"/>
            <w:left w:val="none" w:sz="0" w:space="0" w:color="auto"/>
            <w:bottom w:val="none" w:sz="0" w:space="0" w:color="auto"/>
            <w:right w:val="none" w:sz="0" w:space="0" w:color="auto"/>
          </w:divBdr>
        </w:div>
        <w:div w:id="906961558">
          <w:marLeft w:val="994"/>
          <w:marRight w:val="0"/>
          <w:marTop w:val="120"/>
          <w:marBottom w:val="120"/>
          <w:divBdr>
            <w:top w:val="none" w:sz="0" w:space="0" w:color="auto"/>
            <w:left w:val="none" w:sz="0" w:space="0" w:color="auto"/>
            <w:bottom w:val="none" w:sz="0" w:space="0" w:color="auto"/>
            <w:right w:val="none" w:sz="0" w:space="0" w:color="auto"/>
          </w:divBdr>
        </w:div>
        <w:div w:id="610555159">
          <w:marLeft w:val="994"/>
          <w:marRight w:val="0"/>
          <w:marTop w:val="120"/>
          <w:marBottom w:val="120"/>
          <w:divBdr>
            <w:top w:val="none" w:sz="0" w:space="0" w:color="auto"/>
            <w:left w:val="none" w:sz="0" w:space="0" w:color="auto"/>
            <w:bottom w:val="none" w:sz="0" w:space="0" w:color="auto"/>
            <w:right w:val="none" w:sz="0" w:space="0" w:color="auto"/>
          </w:divBdr>
        </w:div>
        <w:div w:id="347030474">
          <w:marLeft w:val="994"/>
          <w:marRight w:val="0"/>
          <w:marTop w:val="120"/>
          <w:marBottom w:val="120"/>
          <w:divBdr>
            <w:top w:val="none" w:sz="0" w:space="0" w:color="auto"/>
            <w:left w:val="none" w:sz="0" w:space="0" w:color="auto"/>
            <w:bottom w:val="none" w:sz="0" w:space="0" w:color="auto"/>
            <w:right w:val="none" w:sz="0" w:space="0" w:color="auto"/>
          </w:divBdr>
        </w:div>
      </w:divsChild>
    </w:div>
    <w:div w:id="152143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tzhakgilboa.weebly.com/uploads/8/3/6/3/8363317/gilboa_marinacci_ambiguity_and_bayesian_paradigm.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Loss Exceedance</a:t>
            </a:r>
            <a:r>
              <a:rPr lang="en-GB" baseline="0"/>
              <a:t> Curves</a:t>
            </a:r>
            <a:endParaRPr lang="en-GB"/>
          </a:p>
        </c:rich>
      </c:tx>
      <c:layout>
        <c:manualLayout>
          <c:xMode val="edge"/>
          <c:yMode val="edge"/>
          <c:x val="0.41294262035109008"/>
          <c:y val="0.1036508436445444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numRef>
              <c:f>Sheet1!$A$2:$A$7</c:f>
              <c:numCache>
                <c:formatCode>General</c:formatCode>
                <c:ptCount val="6"/>
                <c:pt idx="0">
                  <c:v>100</c:v>
                </c:pt>
                <c:pt idx="1">
                  <c:v>20</c:v>
                </c:pt>
                <c:pt idx="2">
                  <c:v>5</c:v>
                </c:pt>
                <c:pt idx="3">
                  <c:v>1</c:v>
                </c:pt>
                <c:pt idx="4">
                  <c:v>0.2</c:v>
                </c:pt>
                <c:pt idx="5">
                  <c:v>0.05</c:v>
                </c:pt>
              </c:numCache>
            </c:numRef>
          </c:cat>
          <c:val>
            <c:numRef>
              <c:f>Sheet1!$B$2:$B$7</c:f>
              <c:numCache>
                <c:formatCode>General</c:formatCode>
                <c:ptCount val="6"/>
                <c:pt idx="0">
                  <c:v>0</c:v>
                </c:pt>
                <c:pt idx="1">
                  <c:v>1.6</c:v>
                </c:pt>
                <c:pt idx="2">
                  <c:v>3.4</c:v>
                </c:pt>
                <c:pt idx="3">
                  <c:v>5.8</c:v>
                </c:pt>
                <c:pt idx="4">
                  <c:v>9.6</c:v>
                </c:pt>
                <c:pt idx="5">
                  <c:v>15</c:v>
                </c:pt>
              </c:numCache>
            </c:numRef>
          </c:val>
          <c:smooth val="0"/>
          <c:extLst>
            <c:ext xmlns:c16="http://schemas.microsoft.com/office/drawing/2014/chart" uri="{C3380CC4-5D6E-409C-BE32-E72D297353CC}">
              <c16:uniqueId val="{00000000-23F4-451B-AA81-240B4DD7989D}"/>
            </c:ext>
          </c:extLst>
        </c:ser>
        <c:ser>
          <c:idx val="1"/>
          <c:order val="1"/>
          <c:tx>
            <c:strRef>
              <c:f>Sheet1!$C$1</c:f>
              <c:strCache>
                <c:ptCount val="1"/>
                <c:pt idx="0">
                  <c:v>Series 2</c:v>
                </c:pt>
              </c:strCache>
            </c:strRef>
          </c:tx>
          <c:spPr>
            <a:ln w="28575" cap="rnd">
              <a:solidFill>
                <a:schemeClr val="accent2"/>
              </a:solidFill>
              <a:round/>
            </a:ln>
            <a:effectLst/>
          </c:spPr>
          <c:marker>
            <c:symbol val="none"/>
          </c:marker>
          <c:cat>
            <c:numRef>
              <c:f>Sheet1!$A$2:$A$7</c:f>
              <c:numCache>
                <c:formatCode>General</c:formatCode>
                <c:ptCount val="6"/>
                <c:pt idx="0">
                  <c:v>100</c:v>
                </c:pt>
                <c:pt idx="1">
                  <c:v>20</c:v>
                </c:pt>
                <c:pt idx="2">
                  <c:v>5</c:v>
                </c:pt>
                <c:pt idx="3">
                  <c:v>1</c:v>
                </c:pt>
                <c:pt idx="4">
                  <c:v>0.2</c:v>
                </c:pt>
                <c:pt idx="5">
                  <c:v>0.05</c:v>
                </c:pt>
              </c:numCache>
            </c:numRef>
          </c:cat>
          <c:val>
            <c:numRef>
              <c:f>Sheet1!$C$2:$C$7</c:f>
              <c:numCache>
                <c:formatCode>General</c:formatCode>
                <c:ptCount val="6"/>
                <c:pt idx="0">
                  <c:v>0</c:v>
                </c:pt>
                <c:pt idx="1">
                  <c:v>1.4</c:v>
                </c:pt>
                <c:pt idx="2">
                  <c:v>3</c:v>
                </c:pt>
                <c:pt idx="3">
                  <c:v>4.9000000000000004</c:v>
                </c:pt>
                <c:pt idx="4">
                  <c:v>7.2</c:v>
                </c:pt>
                <c:pt idx="5">
                  <c:v>11</c:v>
                </c:pt>
              </c:numCache>
            </c:numRef>
          </c:val>
          <c:smooth val="0"/>
          <c:extLst>
            <c:ext xmlns:c16="http://schemas.microsoft.com/office/drawing/2014/chart" uri="{C3380CC4-5D6E-409C-BE32-E72D297353CC}">
              <c16:uniqueId val="{00000001-23F4-451B-AA81-240B4DD7989D}"/>
            </c:ext>
          </c:extLst>
        </c:ser>
        <c:ser>
          <c:idx val="2"/>
          <c:order val="2"/>
          <c:tx>
            <c:strRef>
              <c:f>Sheet1!$D$1</c:f>
              <c:strCache>
                <c:ptCount val="1"/>
                <c:pt idx="0">
                  <c:v>Series 3</c:v>
                </c:pt>
              </c:strCache>
            </c:strRef>
          </c:tx>
          <c:spPr>
            <a:ln w="28575" cap="rnd">
              <a:solidFill>
                <a:schemeClr val="accent3"/>
              </a:solidFill>
              <a:round/>
            </a:ln>
            <a:effectLst/>
          </c:spPr>
          <c:marker>
            <c:symbol val="none"/>
          </c:marker>
          <c:cat>
            <c:numRef>
              <c:f>Sheet1!$A$2:$A$7</c:f>
              <c:numCache>
                <c:formatCode>General</c:formatCode>
                <c:ptCount val="6"/>
                <c:pt idx="0">
                  <c:v>100</c:v>
                </c:pt>
                <c:pt idx="1">
                  <c:v>20</c:v>
                </c:pt>
                <c:pt idx="2">
                  <c:v>5</c:v>
                </c:pt>
                <c:pt idx="3">
                  <c:v>1</c:v>
                </c:pt>
                <c:pt idx="4">
                  <c:v>0.2</c:v>
                </c:pt>
                <c:pt idx="5">
                  <c:v>0.05</c:v>
                </c:pt>
              </c:numCache>
            </c:numRef>
          </c:cat>
          <c:val>
            <c:numRef>
              <c:f>Sheet1!$D$2:$D$7</c:f>
              <c:numCache>
                <c:formatCode>General</c:formatCode>
                <c:ptCount val="6"/>
                <c:pt idx="0">
                  <c:v>0</c:v>
                </c:pt>
                <c:pt idx="1">
                  <c:v>1.5</c:v>
                </c:pt>
                <c:pt idx="2">
                  <c:v>3.2</c:v>
                </c:pt>
                <c:pt idx="3">
                  <c:v>5.3</c:v>
                </c:pt>
                <c:pt idx="4">
                  <c:v>8</c:v>
                </c:pt>
                <c:pt idx="5">
                  <c:v>12.8</c:v>
                </c:pt>
              </c:numCache>
            </c:numRef>
          </c:val>
          <c:smooth val="0"/>
          <c:extLst>
            <c:ext xmlns:c16="http://schemas.microsoft.com/office/drawing/2014/chart" uri="{C3380CC4-5D6E-409C-BE32-E72D297353CC}">
              <c16:uniqueId val="{00000002-23F4-451B-AA81-240B4DD7989D}"/>
            </c:ext>
          </c:extLst>
        </c:ser>
        <c:dLbls>
          <c:showLegendKey val="0"/>
          <c:showVal val="0"/>
          <c:showCatName val="0"/>
          <c:showSerName val="0"/>
          <c:showPercent val="0"/>
          <c:showBubbleSize val="0"/>
        </c:dLbls>
        <c:smooth val="0"/>
        <c:axId val="574626768"/>
        <c:axId val="574632016"/>
      </c:lineChart>
      <c:catAx>
        <c:axId val="574626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Probability</a:t>
                </a:r>
                <a:r>
                  <a:rPr lang="en-GB" baseline="0"/>
                  <a:t> of loss (%)</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632016"/>
        <c:crosses val="autoZero"/>
        <c:auto val="1"/>
        <c:lblAlgn val="ctr"/>
        <c:lblOffset val="100"/>
        <c:noMultiLvlLbl val="0"/>
      </c:catAx>
      <c:valAx>
        <c:axId val="574632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Losses in millions of $s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626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50BDC-0D55-48A1-B769-0D557A74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6246</Words>
  <Characters>35603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41766</CharactersWithSpaces>
  <SharedDoc>false</SharedDoc>
  <HLinks>
    <vt:vector size="6" baseType="variant">
      <vt:variant>
        <vt:i4>2162700</vt:i4>
      </vt:variant>
      <vt:variant>
        <vt:i4>9</vt:i4>
      </vt:variant>
      <vt:variant>
        <vt:i4>0</vt:i4>
      </vt:variant>
      <vt:variant>
        <vt:i4>5</vt:i4>
      </vt:variant>
      <vt:variant>
        <vt:lpwstr>http://itzhakgilboa.weebly.com/uploads/8/3/6/3/8363317/gilboa_marinacci_ambiguity_and_bayesian_paradigm.pdf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Bradley</dc:creator>
  <cp:keywords/>
  <dc:description/>
  <cp:lastModifiedBy>Richard Bradley</cp:lastModifiedBy>
  <cp:revision>2</cp:revision>
  <cp:lastPrinted>2017-09-08T14:13:00Z</cp:lastPrinted>
  <dcterms:created xsi:type="dcterms:W3CDTF">2022-03-31T13:01:00Z</dcterms:created>
  <dcterms:modified xsi:type="dcterms:W3CDTF">2022-03-31T13:01:00Z</dcterms:modified>
</cp:coreProperties>
</file>