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219FB8" w14:textId="47F39588" w:rsidR="00485821" w:rsidRDefault="00485821" w:rsidP="00485821">
      <w:pPr>
        <w:pStyle w:val="Heading2"/>
        <w:jc w:val="center"/>
        <w:rPr>
          <w:sz w:val="32"/>
          <w:szCs w:val="32"/>
        </w:rPr>
      </w:pPr>
      <w:bookmarkStart w:id="0" w:name="_Hlk47083617"/>
      <w:r w:rsidRPr="00485821">
        <w:rPr>
          <w:sz w:val="32"/>
          <w:szCs w:val="32"/>
        </w:rPr>
        <w:t xml:space="preserve">Frege’s Puzzle </w:t>
      </w:r>
      <w:r w:rsidR="001F1A06">
        <w:rPr>
          <w:sz w:val="32"/>
          <w:szCs w:val="32"/>
        </w:rPr>
        <w:t>and</w:t>
      </w:r>
      <w:r w:rsidRPr="00485821">
        <w:rPr>
          <w:sz w:val="32"/>
          <w:szCs w:val="32"/>
        </w:rPr>
        <w:t xml:space="preserve"> the </w:t>
      </w:r>
      <w:r w:rsidRPr="00E51B39">
        <w:rPr>
          <w:i/>
          <w:iCs/>
          <w:sz w:val="32"/>
          <w:szCs w:val="32"/>
        </w:rPr>
        <w:t>Ex Ante</w:t>
      </w:r>
      <w:r w:rsidRPr="00485821">
        <w:rPr>
          <w:sz w:val="32"/>
          <w:szCs w:val="32"/>
        </w:rPr>
        <w:t xml:space="preserve"> Pareto Principle</w:t>
      </w:r>
    </w:p>
    <w:bookmarkEnd w:id="0"/>
    <w:p w14:paraId="52F04C55" w14:textId="77777777" w:rsidR="00E51B39" w:rsidRDefault="00E51B39" w:rsidP="006D655F">
      <w:pPr>
        <w:pStyle w:val="Heading2"/>
        <w:jc w:val="both"/>
      </w:pPr>
    </w:p>
    <w:p w14:paraId="0288776F" w14:textId="04CCA412" w:rsidR="00821386" w:rsidRPr="008F2DD3" w:rsidRDefault="00821386" w:rsidP="001859AE">
      <w:pPr>
        <w:pStyle w:val="Heading2"/>
        <w:jc w:val="both"/>
      </w:pPr>
      <w:r w:rsidRPr="008F2DD3">
        <w:t>Introduction</w:t>
      </w:r>
    </w:p>
    <w:p w14:paraId="785085E2" w14:textId="7885C9FE" w:rsidR="00821386" w:rsidRDefault="005A1363" w:rsidP="001859AE">
      <w:pPr>
        <w:jc w:val="both"/>
      </w:pPr>
      <w:bookmarkStart w:id="1" w:name="_Hlk14094350"/>
      <w:r>
        <w:t xml:space="preserve">The </w:t>
      </w:r>
      <w:r>
        <w:rPr>
          <w:i/>
          <w:iCs/>
        </w:rPr>
        <w:t>ex ante</w:t>
      </w:r>
      <w:r>
        <w:t xml:space="preserve"> </w:t>
      </w:r>
      <w:r w:rsidR="00AC7632">
        <w:t>Pareto</w:t>
      </w:r>
      <w:r>
        <w:t xml:space="preserve"> principle – like many other principles in welfare economics – involves the idea of prospects or expected welfare</w:t>
      </w:r>
      <w:r w:rsidR="00910EEF">
        <w:t xml:space="preserve"> for individuals. I have argued elsewhere (</w:t>
      </w:r>
      <w:r w:rsidR="00910EEF" w:rsidRPr="007A2A57">
        <w:rPr>
          <w:bCs/>
        </w:rPr>
        <w:t>XX</w:t>
      </w:r>
      <w:r w:rsidR="007A2A57">
        <w:t>X</w:t>
      </w:r>
      <w:r w:rsidR="00910EEF">
        <w:t>) that</w:t>
      </w:r>
      <w:r w:rsidR="00D6775E">
        <w:t>, for reasons connected with</w:t>
      </w:r>
      <w:r w:rsidR="00D6775E" w:rsidRPr="00D6775E">
        <w:t xml:space="preserve"> </w:t>
      </w:r>
      <w:r w:rsidR="00D6775E">
        <w:t xml:space="preserve">Frege’s puzzle </w:t>
      </w:r>
      <w:sdt>
        <w:sdtPr>
          <w:id w:val="2008780360"/>
          <w:citation/>
        </w:sdtPr>
        <w:sdtEndPr/>
        <w:sdtContent>
          <w:r w:rsidR="00D6775E">
            <w:fldChar w:fldCharType="begin"/>
          </w:r>
          <w:r w:rsidR="00D6775E">
            <w:instrText xml:space="preserve"> CITATION Fre80 \l 2057 </w:instrText>
          </w:r>
          <w:r w:rsidR="00D6775E">
            <w:fldChar w:fldCharType="separate"/>
          </w:r>
          <w:r w:rsidR="00122864">
            <w:rPr>
              <w:noProof/>
            </w:rPr>
            <w:t>(Frege 1980)</w:t>
          </w:r>
          <w:r w:rsidR="00D6775E">
            <w:fldChar w:fldCharType="end"/>
          </w:r>
        </w:sdtContent>
      </w:sdt>
      <w:r w:rsidR="00D6775E">
        <w:t xml:space="preserve">, </w:t>
      </w:r>
      <w:r w:rsidR="00910EEF">
        <w:t xml:space="preserve">the prospects for an agent </w:t>
      </w:r>
      <w:r w:rsidR="00BB349D">
        <w:t xml:space="preserve">under a policy </w:t>
      </w:r>
      <w:r w:rsidR="00910EEF">
        <w:t xml:space="preserve">can depend on how that agent is designated. </w:t>
      </w:r>
      <w:r w:rsidR="008928D8">
        <w:t xml:space="preserve">As it stands, </w:t>
      </w:r>
      <w:r w:rsidR="00917BF4">
        <w:t xml:space="preserve">then, </w:t>
      </w:r>
      <w:r w:rsidR="008928D8">
        <w:t xml:space="preserve">the concept of </w:t>
      </w:r>
      <w:r w:rsidR="008928D8">
        <w:rPr>
          <w:i/>
          <w:iCs/>
        </w:rPr>
        <w:t>ex ante</w:t>
      </w:r>
      <w:r w:rsidR="008928D8">
        <w:t xml:space="preserve"> </w:t>
      </w:r>
      <w:r w:rsidR="00AC7632">
        <w:t>Pareto</w:t>
      </w:r>
      <w:r w:rsidR="008928D8">
        <w:t xml:space="preserve"> superiority is not well defined, </w:t>
      </w:r>
      <w:r w:rsidR="00821386">
        <w:t>because its application in a choice situation concerning a fixed population can depend on how the members of th</w:t>
      </w:r>
      <w:r w:rsidR="006C43F7">
        <w:t>at</w:t>
      </w:r>
      <w:r w:rsidR="00821386">
        <w:t xml:space="preserve"> population are designated. I show in this paper</w:t>
      </w:r>
      <w:r w:rsidR="006C43F7">
        <w:t xml:space="preserve"> that</w:t>
      </w:r>
      <w:r w:rsidR="00821386">
        <w:t xml:space="preserve"> in almost all cases of policy cho</w:t>
      </w:r>
      <w:r w:rsidR="00BC6144">
        <w:t>i</w:t>
      </w:r>
      <w:r w:rsidR="00821386">
        <w:t>ce, there will be numerous sets of rival designators</w:t>
      </w:r>
      <w:r w:rsidR="006C43F7">
        <w:t xml:space="preserve"> </w:t>
      </w:r>
      <w:r w:rsidR="00821386">
        <w:t>for the same fixed population</w:t>
      </w:r>
      <w:r w:rsidR="00D6775E">
        <w:t xml:space="preserve">, and so that the problem with the </w:t>
      </w:r>
      <w:r w:rsidR="00D6775E">
        <w:rPr>
          <w:i/>
          <w:iCs/>
        </w:rPr>
        <w:t>ex ante</w:t>
      </w:r>
      <w:r w:rsidR="00D6775E">
        <w:t xml:space="preserve"> </w:t>
      </w:r>
      <w:r w:rsidR="00AC7632">
        <w:t>Pareto</w:t>
      </w:r>
      <w:r w:rsidR="00D6775E">
        <w:t xml:space="preserve"> principle – and </w:t>
      </w:r>
      <w:r w:rsidR="00917BF4">
        <w:t xml:space="preserve">indeed </w:t>
      </w:r>
      <w:r w:rsidR="00D6775E">
        <w:t>with</w:t>
      </w:r>
      <w:r w:rsidR="00917BF4">
        <w:t xml:space="preserve"> many other principles of welfare economics</w:t>
      </w:r>
      <w:r w:rsidR="000168CE">
        <w:t>, including certain fairness principles, and principles concerning competing claims –</w:t>
      </w:r>
      <w:r w:rsidR="00917BF4">
        <w:t xml:space="preserve"> is widespread. </w:t>
      </w:r>
    </w:p>
    <w:p w14:paraId="1C85C93E" w14:textId="48F2D97D" w:rsidR="00821386" w:rsidRDefault="00D6775E" w:rsidP="00257A5A">
      <w:pPr>
        <w:jc w:val="both"/>
      </w:pPr>
      <w:r>
        <w:t xml:space="preserve">I explore two ways that we might complete the </w:t>
      </w:r>
      <w:r w:rsidR="00821386">
        <w:t xml:space="preserve">definition of </w:t>
      </w:r>
      <w:r w:rsidR="003D3D1A">
        <w:rPr>
          <w:i/>
          <w:iCs/>
        </w:rPr>
        <w:t>ex ante</w:t>
      </w:r>
      <w:r w:rsidR="00821386">
        <w:rPr>
          <w:i/>
          <w:iCs/>
        </w:rPr>
        <w:t xml:space="preserve"> </w:t>
      </w:r>
      <w:r w:rsidR="00AC7632">
        <w:t>Pareto</w:t>
      </w:r>
      <w:r w:rsidR="00821386">
        <w:t xml:space="preserve"> superiority. I call these the ‘supervaluationist’ reading and the ‘subvaluationist’ reading. </w:t>
      </w:r>
      <w:r w:rsidR="00AC7190">
        <w:t>I argue that</w:t>
      </w:r>
      <w:r>
        <w:t xml:space="preserve"> on the subvaluationist reading, the principle is equivalent to a version of utilitarianism, and so that this reading is an uncharitable interpretation. The supervaluationist reading is much more promising, and leaves us with a coherent principle that is </w:t>
      </w:r>
      <w:r w:rsidR="00257A5A">
        <w:t xml:space="preserve">faithful to the underlying rationale. I end by exploring some of the implications of this principle for debates over egalitarianism and prioritarianism. </w:t>
      </w:r>
    </w:p>
    <w:bookmarkEnd w:id="1"/>
    <w:p w14:paraId="32927CAB" w14:textId="77777777" w:rsidR="00821386" w:rsidRPr="00821386" w:rsidRDefault="00821386" w:rsidP="001859AE">
      <w:pPr>
        <w:jc w:val="both"/>
      </w:pPr>
    </w:p>
    <w:p w14:paraId="50B471AC" w14:textId="1B026848" w:rsidR="00821386" w:rsidRPr="00821386" w:rsidRDefault="00821386" w:rsidP="001859AE">
      <w:pPr>
        <w:pStyle w:val="Heading2"/>
        <w:jc w:val="both"/>
      </w:pPr>
      <w:r>
        <w:lastRenderedPageBreak/>
        <w:t xml:space="preserve">Why the </w:t>
      </w:r>
      <w:r w:rsidR="003D3D1A">
        <w:rPr>
          <w:i/>
          <w:iCs/>
        </w:rPr>
        <w:t>ex ante</w:t>
      </w:r>
      <w:r>
        <w:t xml:space="preserve"> </w:t>
      </w:r>
      <w:r w:rsidR="00AC7632">
        <w:t>Pareto</w:t>
      </w:r>
      <w:r>
        <w:t xml:space="preserve"> principle is not completely defined</w:t>
      </w:r>
    </w:p>
    <w:p w14:paraId="700F41E1" w14:textId="526A76C6" w:rsidR="004F7B50" w:rsidRPr="003E660F" w:rsidRDefault="004F7B50" w:rsidP="001859AE">
      <w:pPr>
        <w:jc w:val="both"/>
        <w:rPr>
          <w:rFonts w:cs="Times New Roman"/>
        </w:rPr>
      </w:pPr>
      <w:r w:rsidRPr="003E660F">
        <w:rPr>
          <w:rFonts w:cs="Times New Roman"/>
        </w:rPr>
        <w:t xml:space="preserve">The </w:t>
      </w:r>
      <w:r w:rsidR="003D3D1A">
        <w:rPr>
          <w:rFonts w:cs="Times New Roman"/>
          <w:i/>
        </w:rPr>
        <w:t>ex ante</w:t>
      </w:r>
      <w:r w:rsidRPr="003E660F">
        <w:rPr>
          <w:rFonts w:cs="Times New Roman"/>
        </w:rPr>
        <w:t xml:space="preserve"> </w:t>
      </w:r>
      <w:r w:rsidR="00AC7632">
        <w:rPr>
          <w:rFonts w:cs="Times New Roman"/>
        </w:rPr>
        <w:t>Pareto</w:t>
      </w:r>
      <w:r w:rsidRPr="003E660F">
        <w:rPr>
          <w:rFonts w:cs="Times New Roman"/>
        </w:rPr>
        <w:t xml:space="preserve"> principle states that when you have a choice between a range of policies, you should not choose some policy</w:t>
      </w:r>
      <w:r w:rsidR="00BC6144" w:rsidRPr="00BC6144">
        <w:rPr>
          <w:rFonts w:cs="Times New Roman"/>
          <w:i/>
          <w:vertAlign w:val="subscript"/>
        </w:rPr>
        <w:t xml:space="preserve"> </w:t>
      </w:r>
      <w:r w:rsidR="00BC6144" w:rsidRPr="00BC6144">
        <w:rPr>
          <w:rFonts w:cs="Times New Roman"/>
        </w:rPr>
        <w:t>P</w:t>
      </w:r>
      <w:r w:rsidR="00BC6144" w:rsidRPr="00BC6144">
        <w:rPr>
          <w:rFonts w:cs="Times New Roman"/>
          <w:i/>
          <w:vertAlign w:val="subscript"/>
        </w:rPr>
        <w:t xml:space="preserve">y </w:t>
      </w:r>
      <w:r w:rsidRPr="003E660F">
        <w:rPr>
          <w:rFonts w:cs="Times New Roman"/>
        </w:rPr>
        <w:t>if some other policy</w:t>
      </w:r>
      <w:r w:rsidR="00AB2931">
        <w:rPr>
          <w:rFonts w:cs="Times New Roman"/>
        </w:rPr>
        <w:t xml:space="preserve"> P</w:t>
      </w:r>
      <w:r w:rsidR="00BC6144" w:rsidRPr="00BC6144">
        <w:rPr>
          <w:rFonts w:cs="Times New Roman"/>
          <w:i/>
          <w:vertAlign w:val="subscript"/>
        </w:rPr>
        <w:t>x</w:t>
      </w:r>
      <w:r w:rsidR="00AB2931">
        <w:rPr>
          <w:rFonts w:cs="Times New Roman"/>
        </w:rPr>
        <w:t xml:space="preserve"> </w:t>
      </w:r>
      <w:r w:rsidRPr="003E660F">
        <w:rPr>
          <w:rFonts w:cs="Times New Roman"/>
        </w:rPr>
        <w:t xml:space="preserve">is </w:t>
      </w:r>
      <w:r w:rsidR="003D3D1A">
        <w:rPr>
          <w:rFonts w:cs="Times New Roman"/>
          <w:i/>
        </w:rPr>
        <w:t>ex ante</w:t>
      </w:r>
      <w:r w:rsidRPr="003E660F">
        <w:rPr>
          <w:rFonts w:cs="Times New Roman"/>
        </w:rPr>
        <w:t xml:space="preserve"> </w:t>
      </w:r>
      <w:r w:rsidR="00AC7632">
        <w:rPr>
          <w:rFonts w:cs="Times New Roman"/>
        </w:rPr>
        <w:t>Pareto</w:t>
      </w:r>
      <w:r w:rsidRPr="003E660F">
        <w:rPr>
          <w:rFonts w:cs="Times New Roman"/>
        </w:rPr>
        <w:t xml:space="preserve"> superior. And policy</w:t>
      </w:r>
      <w:r w:rsidR="00AB2931">
        <w:rPr>
          <w:rFonts w:cs="Times New Roman"/>
        </w:rPr>
        <w:t xml:space="preserve"> P</w:t>
      </w:r>
      <w:r w:rsidR="00BC6144" w:rsidRPr="00BC6144">
        <w:rPr>
          <w:rFonts w:cs="Times New Roman"/>
          <w:i/>
          <w:vertAlign w:val="subscript"/>
        </w:rPr>
        <w:t>x</w:t>
      </w:r>
      <w:r w:rsidR="00AB2931">
        <w:rPr>
          <w:rFonts w:cs="Times New Roman"/>
        </w:rPr>
        <w:t xml:space="preserve"> </w:t>
      </w:r>
      <w:r w:rsidRPr="003E660F">
        <w:rPr>
          <w:rFonts w:cs="Times New Roman"/>
        </w:rPr>
        <w:t xml:space="preserve">is </w:t>
      </w:r>
      <w:r w:rsidR="003D3D1A">
        <w:rPr>
          <w:rFonts w:cs="Times New Roman"/>
          <w:i/>
        </w:rPr>
        <w:t>ex ante</w:t>
      </w:r>
      <w:r w:rsidRPr="003E660F">
        <w:rPr>
          <w:rFonts w:cs="Times New Roman"/>
        </w:rPr>
        <w:t xml:space="preserve"> </w:t>
      </w:r>
      <w:r w:rsidR="00AC7632">
        <w:rPr>
          <w:rFonts w:cs="Times New Roman"/>
        </w:rPr>
        <w:t>Pareto</w:t>
      </w:r>
      <w:r w:rsidRPr="003E660F">
        <w:rPr>
          <w:rFonts w:cs="Times New Roman"/>
        </w:rPr>
        <w:t xml:space="preserve"> superior to policy</w:t>
      </w:r>
      <w:r w:rsidR="00BC6144" w:rsidRPr="00BC6144">
        <w:rPr>
          <w:rFonts w:cs="Times New Roman"/>
          <w:i/>
          <w:vertAlign w:val="subscript"/>
        </w:rPr>
        <w:t xml:space="preserve"> </w:t>
      </w:r>
      <w:r w:rsidR="00BC6144" w:rsidRPr="00BC6144">
        <w:rPr>
          <w:rFonts w:cs="Times New Roman"/>
        </w:rPr>
        <w:t>P</w:t>
      </w:r>
      <w:r w:rsidR="00BC6144" w:rsidRPr="00BC6144">
        <w:rPr>
          <w:rFonts w:cs="Times New Roman"/>
          <w:i/>
          <w:vertAlign w:val="subscript"/>
        </w:rPr>
        <w:t xml:space="preserve">y </w:t>
      </w:r>
      <w:r w:rsidRPr="003E660F">
        <w:rPr>
          <w:rFonts w:cs="Times New Roman"/>
        </w:rPr>
        <w:t>if and only if a) the prospects for each person under policy</w:t>
      </w:r>
      <w:r w:rsidR="00AB2931">
        <w:rPr>
          <w:rFonts w:cs="Times New Roman"/>
        </w:rPr>
        <w:t xml:space="preserve"> P</w:t>
      </w:r>
      <w:r w:rsidR="00BC6144" w:rsidRPr="00BC6144">
        <w:rPr>
          <w:rFonts w:cs="Times New Roman"/>
          <w:i/>
          <w:vertAlign w:val="subscript"/>
        </w:rPr>
        <w:t>x</w:t>
      </w:r>
      <w:r w:rsidR="00AB2931">
        <w:rPr>
          <w:rFonts w:cs="Times New Roman"/>
        </w:rPr>
        <w:t xml:space="preserve"> </w:t>
      </w:r>
      <w:r w:rsidRPr="003E660F">
        <w:rPr>
          <w:rFonts w:cs="Times New Roman"/>
        </w:rPr>
        <w:t xml:space="preserve">are at least as good as under policy </w:t>
      </w:r>
      <w:r w:rsidR="006C43F7" w:rsidRPr="00BC6144">
        <w:rPr>
          <w:rFonts w:cs="Times New Roman"/>
        </w:rPr>
        <w:t>P</w:t>
      </w:r>
      <w:r w:rsidR="006C43F7" w:rsidRPr="00BC6144">
        <w:rPr>
          <w:rFonts w:cs="Times New Roman"/>
          <w:i/>
          <w:vertAlign w:val="subscript"/>
        </w:rPr>
        <w:t>y</w:t>
      </w:r>
      <w:r w:rsidRPr="003E660F">
        <w:rPr>
          <w:rFonts w:cs="Times New Roman"/>
        </w:rPr>
        <w:t>, and b) the prospects for at least one person under policy</w:t>
      </w:r>
      <w:r w:rsidR="00AB2931">
        <w:rPr>
          <w:rFonts w:cs="Times New Roman"/>
        </w:rPr>
        <w:t xml:space="preserve"> P</w:t>
      </w:r>
      <w:r w:rsidR="00BC6144" w:rsidRPr="00BC6144">
        <w:rPr>
          <w:rFonts w:cs="Times New Roman"/>
          <w:i/>
          <w:vertAlign w:val="subscript"/>
        </w:rPr>
        <w:t>x</w:t>
      </w:r>
      <w:r w:rsidR="00AB2931">
        <w:rPr>
          <w:rFonts w:cs="Times New Roman"/>
        </w:rPr>
        <w:t xml:space="preserve"> </w:t>
      </w:r>
      <w:r w:rsidRPr="003E660F">
        <w:rPr>
          <w:rFonts w:cs="Times New Roman"/>
        </w:rPr>
        <w:t xml:space="preserve">are better than under policy </w:t>
      </w:r>
      <w:r w:rsidR="006C43F7" w:rsidRPr="00BC6144">
        <w:rPr>
          <w:rFonts w:cs="Times New Roman"/>
        </w:rPr>
        <w:t>P</w:t>
      </w:r>
      <w:r w:rsidR="006C43F7" w:rsidRPr="00BC6144">
        <w:rPr>
          <w:rFonts w:cs="Times New Roman"/>
          <w:i/>
          <w:vertAlign w:val="subscript"/>
        </w:rPr>
        <w:t>y</w:t>
      </w:r>
      <w:r w:rsidRPr="003E660F">
        <w:rPr>
          <w:rFonts w:cs="Times New Roman"/>
        </w:rPr>
        <w:t xml:space="preserve">. </w:t>
      </w:r>
      <w:r w:rsidR="00F859F6" w:rsidRPr="003E660F">
        <w:rPr>
          <w:rFonts w:cs="Times New Roman"/>
        </w:rPr>
        <w:t xml:space="preserve">In this paper I understand the </w:t>
      </w:r>
      <w:r w:rsidRPr="003E660F">
        <w:rPr>
          <w:rFonts w:cs="Times New Roman"/>
        </w:rPr>
        <w:t>prospects for a person under a policy</w:t>
      </w:r>
      <w:r w:rsidR="00F859F6" w:rsidRPr="003E660F">
        <w:rPr>
          <w:rFonts w:cs="Times New Roman"/>
        </w:rPr>
        <w:t xml:space="preserve"> to be </w:t>
      </w:r>
      <w:r w:rsidRPr="003E660F">
        <w:rPr>
          <w:rFonts w:cs="Times New Roman"/>
        </w:rPr>
        <w:t>the expected welfare for that person under that policy</w:t>
      </w:r>
      <w:r w:rsidR="003E660F">
        <w:rPr>
          <w:rFonts w:cs="Times New Roman"/>
        </w:rPr>
        <w:t xml:space="preserve">. There are interesting questions about how to assess the welfare for a person </w:t>
      </w:r>
      <w:r w:rsidR="00BB349D">
        <w:rPr>
          <w:rFonts w:cs="Times New Roman"/>
        </w:rPr>
        <w:t>at some outcome</w:t>
      </w:r>
      <w:r w:rsidR="003E660F">
        <w:rPr>
          <w:rFonts w:cs="Times New Roman"/>
        </w:rPr>
        <w:t xml:space="preserve">, but I set these questions aside here and assume that there is no difficulty in assigning a number that gives the welfare for any given person in any given </w:t>
      </w:r>
      <w:r w:rsidR="00BB349D">
        <w:rPr>
          <w:rFonts w:cs="Times New Roman"/>
        </w:rPr>
        <w:t>outcome</w:t>
      </w:r>
      <w:r w:rsidR="003E660F">
        <w:rPr>
          <w:rFonts w:cs="Times New Roman"/>
        </w:rPr>
        <w:t xml:space="preserve">. The more important (but, I think, not controversial) assumption that I make is that the </w:t>
      </w:r>
      <w:r w:rsidR="003E660F">
        <w:rPr>
          <w:rFonts w:cs="Times New Roman"/>
          <w:i/>
        </w:rPr>
        <w:t>expected</w:t>
      </w:r>
      <w:r w:rsidR="003E660F">
        <w:rPr>
          <w:rFonts w:cs="Times New Roman"/>
        </w:rPr>
        <w:t xml:space="preserve"> welfare of some policy is calculated using the </w:t>
      </w:r>
      <w:r w:rsidR="00AA65E8">
        <w:rPr>
          <w:rFonts w:cs="Times New Roman"/>
        </w:rPr>
        <w:t>decision-maker</w:t>
      </w:r>
      <w:r w:rsidR="003E660F">
        <w:rPr>
          <w:rFonts w:cs="Times New Roman"/>
        </w:rPr>
        <w:t>’s credences.</w:t>
      </w:r>
      <w:r w:rsidR="00BE0386">
        <w:rPr>
          <w:rStyle w:val="FootnoteReference"/>
          <w:rFonts w:cs="Times New Roman"/>
        </w:rPr>
        <w:footnoteReference w:id="1"/>
      </w:r>
      <w:r w:rsidR="003E660F">
        <w:rPr>
          <w:rFonts w:cs="Times New Roman"/>
        </w:rPr>
        <w:t xml:space="preserve"> </w:t>
      </w:r>
    </w:p>
    <w:p w14:paraId="345E9471" w14:textId="3E61DCA0" w:rsidR="005A3036" w:rsidRPr="003E660F" w:rsidRDefault="004F7B50" w:rsidP="001859AE">
      <w:pPr>
        <w:jc w:val="both"/>
        <w:rPr>
          <w:rFonts w:cs="Times New Roman"/>
        </w:rPr>
      </w:pPr>
      <w:r w:rsidRPr="003E660F">
        <w:rPr>
          <w:rFonts w:cs="Times New Roman"/>
        </w:rPr>
        <w:t xml:space="preserve">I have argued </w:t>
      </w:r>
      <w:r w:rsidR="00B01A06">
        <w:rPr>
          <w:rFonts w:cs="Times New Roman"/>
        </w:rPr>
        <w:t xml:space="preserve">(XXX) </w:t>
      </w:r>
      <w:r w:rsidRPr="003E660F">
        <w:rPr>
          <w:rFonts w:cs="Times New Roman"/>
        </w:rPr>
        <w:t xml:space="preserve">that the concept of </w:t>
      </w:r>
      <w:r w:rsidR="003D3D1A">
        <w:rPr>
          <w:rFonts w:cs="Times New Roman"/>
          <w:i/>
        </w:rPr>
        <w:t>ex ante</w:t>
      </w:r>
      <w:r w:rsidRPr="003E660F">
        <w:rPr>
          <w:rFonts w:cs="Times New Roman"/>
        </w:rPr>
        <w:t xml:space="preserve"> </w:t>
      </w:r>
      <w:r w:rsidR="00AC7632">
        <w:rPr>
          <w:rFonts w:cs="Times New Roman"/>
        </w:rPr>
        <w:t>Pareto</w:t>
      </w:r>
      <w:r w:rsidRPr="003E660F">
        <w:rPr>
          <w:rFonts w:cs="Times New Roman"/>
        </w:rPr>
        <w:t xml:space="preserve"> superiority is not fully defined. </w:t>
      </w:r>
      <w:r w:rsidR="00AD6FD0" w:rsidRPr="003E660F">
        <w:rPr>
          <w:rFonts w:cs="Times New Roman"/>
        </w:rPr>
        <w:t>The reason for this relates to an insight from Frege, which can be illustrated with an example</w:t>
      </w:r>
      <w:r w:rsidR="006C43F7">
        <w:rPr>
          <w:rFonts w:cs="Times New Roman"/>
        </w:rPr>
        <w:t xml:space="preserve"> </w:t>
      </w:r>
      <w:sdt>
        <w:sdtPr>
          <w:rPr>
            <w:rFonts w:cs="Times New Roman"/>
          </w:rPr>
          <w:id w:val="-1555607814"/>
          <w:citation/>
        </w:sdtPr>
        <w:sdtEndPr/>
        <w:sdtContent>
          <w:r w:rsidR="00C96734">
            <w:rPr>
              <w:rFonts w:cs="Times New Roman"/>
            </w:rPr>
            <w:fldChar w:fldCharType="begin"/>
          </w:r>
          <w:r w:rsidR="00C96734">
            <w:rPr>
              <w:rFonts w:cs="Times New Roman"/>
            </w:rPr>
            <w:instrText xml:space="preserve"> CITATION Fre80 \l 2057 </w:instrText>
          </w:r>
          <w:r w:rsidR="00C96734">
            <w:rPr>
              <w:rFonts w:cs="Times New Roman"/>
            </w:rPr>
            <w:fldChar w:fldCharType="separate"/>
          </w:r>
          <w:r w:rsidR="00122864" w:rsidRPr="00122864">
            <w:rPr>
              <w:rFonts w:cs="Times New Roman"/>
              <w:noProof/>
            </w:rPr>
            <w:t>(Frege 1980)</w:t>
          </w:r>
          <w:r w:rsidR="00C96734">
            <w:rPr>
              <w:rFonts w:cs="Times New Roman"/>
            </w:rPr>
            <w:fldChar w:fldCharType="end"/>
          </w:r>
        </w:sdtContent>
      </w:sdt>
      <w:r w:rsidR="008173F3" w:rsidRPr="003E660F">
        <w:rPr>
          <w:rFonts w:cs="Times New Roman"/>
        </w:rPr>
        <w:t xml:space="preserve">. </w:t>
      </w:r>
      <w:r w:rsidR="00AD6FD0" w:rsidRPr="003E660F">
        <w:rPr>
          <w:rFonts w:cs="Times New Roman"/>
        </w:rPr>
        <w:t xml:space="preserve">The ancient Greeks used the name ‘Hesperus’ for an object that they </w:t>
      </w:r>
      <w:r w:rsidR="00F859F6" w:rsidRPr="003E660F">
        <w:rPr>
          <w:rFonts w:cs="Times New Roman"/>
        </w:rPr>
        <w:t>saw</w:t>
      </w:r>
      <w:r w:rsidR="00AD6FD0" w:rsidRPr="003E660F">
        <w:rPr>
          <w:rFonts w:cs="Times New Roman"/>
        </w:rPr>
        <w:t xml:space="preserve"> in the sky in the evening, and the name ‘Phosphorus’ for an object that they </w:t>
      </w:r>
      <w:r w:rsidR="00F859F6" w:rsidRPr="003E660F">
        <w:rPr>
          <w:rFonts w:cs="Times New Roman"/>
        </w:rPr>
        <w:t>saw</w:t>
      </w:r>
      <w:r w:rsidR="00AD6FD0" w:rsidRPr="003E660F">
        <w:rPr>
          <w:rFonts w:cs="Times New Roman"/>
        </w:rPr>
        <w:t xml:space="preserve"> in the sky in the morning. </w:t>
      </w:r>
      <w:r w:rsidR="005A3036" w:rsidRPr="003E660F">
        <w:rPr>
          <w:rFonts w:cs="Times New Roman"/>
        </w:rPr>
        <w:t xml:space="preserve">In fact, the object they </w:t>
      </w:r>
      <w:r w:rsidR="00F859F6" w:rsidRPr="003E660F">
        <w:rPr>
          <w:rFonts w:cs="Times New Roman"/>
        </w:rPr>
        <w:t>saw</w:t>
      </w:r>
      <w:r w:rsidR="005A3036" w:rsidRPr="003E660F">
        <w:rPr>
          <w:rFonts w:cs="Times New Roman"/>
        </w:rPr>
        <w:t xml:space="preserve"> in the evening was the very same object that they </w:t>
      </w:r>
      <w:r w:rsidR="00F859F6" w:rsidRPr="003E660F">
        <w:rPr>
          <w:rFonts w:cs="Times New Roman"/>
        </w:rPr>
        <w:t>saw</w:t>
      </w:r>
      <w:r w:rsidR="003E660F">
        <w:rPr>
          <w:rFonts w:cs="Times New Roman"/>
        </w:rPr>
        <w:t xml:space="preserve"> in the morning</w:t>
      </w:r>
      <w:r w:rsidR="005A3036" w:rsidRPr="003E660F">
        <w:rPr>
          <w:rFonts w:cs="Times New Roman"/>
        </w:rPr>
        <w:t>: it was the planet Venus. Because they did not know that the two names co-referred, they could believe different things about Hesperus and Phosphorus. For example, Penelope, pointing to an object in the sky</w:t>
      </w:r>
      <w:r w:rsidR="00C96734">
        <w:rPr>
          <w:rFonts w:cs="Times New Roman"/>
        </w:rPr>
        <w:t xml:space="preserve"> in the evening</w:t>
      </w:r>
      <w:r w:rsidR="006C43F7">
        <w:rPr>
          <w:rFonts w:cs="Times New Roman"/>
        </w:rPr>
        <w:t>,</w:t>
      </w:r>
      <w:r w:rsidR="005A3036" w:rsidRPr="003E660F">
        <w:rPr>
          <w:rFonts w:cs="Times New Roman"/>
        </w:rPr>
        <w:t xml:space="preserve"> could believe that </w:t>
      </w:r>
      <w:r w:rsidR="005A3036" w:rsidRPr="003E660F">
        <w:rPr>
          <w:rFonts w:cs="Times New Roman"/>
        </w:rPr>
        <w:lastRenderedPageBreak/>
        <w:t xml:space="preserve">she was pointing at Hesperus without believing that she was pointing at Phosphorus. Hence both (1) and (2) can be true, without Penelope being irrational. </w:t>
      </w:r>
    </w:p>
    <w:p w14:paraId="481CB008" w14:textId="77777777" w:rsidR="008173F3" w:rsidRPr="003E660F" w:rsidRDefault="008173F3" w:rsidP="001859AE">
      <w:pPr>
        <w:pStyle w:val="ListParagraph"/>
        <w:numPr>
          <w:ilvl w:val="0"/>
          <w:numId w:val="1"/>
        </w:numPr>
        <w:jc w:val="both"/>
        <w:rPr>
          <w:rFonts w:cs="Times New Roman"/>
        </w:rPr>
      </w:pPr>
      <w:r w:rsidRPr="003E660F">
        <w:rPr>
          <w:rFonts w:cs="Times New Roman"/>
        </w:rPr>
        <w:t>Penelope believes that Hesperus is over there</w:t>
      </w:r>
    </w:p>
    <w:p w14:paraId="0F9A0597" w14:textId="77777777" w:rsidR="008173F3" w:rsidRPr="003E660F" w:rsidRDefault="008173F3" w:rsidP="001859AE">
      <w:pPr>
        <w:pStyle w:val="ListParagraph"/>
        <w:numPr>
          <w:ilvl w:val="0"/>
          <w:numId w:val="1"/>
        </w:numPr>
        <w:jc w:val="both"/>
        <w:rPr>
          <w:rFonts w:cs="Times New Roman"/>
        </w:rPr>
      </w:pPr>
      <w:r w:rsidRPr="003E660F">
        <w:rPr>
          <w:rFonts w:cs="Times New Roman"/>
        </w:rPr>
        <w:t>Penelope does not believe that Phosphorus is over there</w:t>
      </w:r>
    </w:p>
    <w:p w14:paraId="5D1A19B3" w14:textId="12D19692" w:rsidR="000168CE" w:rsidRPr="003E660F" w:rsidRDefault="005A3036" w:rsidP="001859AE">
      <w:pPr>
        <w:jc w:val="both"/>
        <w:rPr>
          <w:rFonts w:cs="Times New Roman"/>
        </w:rPr>
      </w:pPr>
      <w:r w:rsidRPr="003E660F">
        <w:rPr>
          <w:rFonts w:cs="Times New Roman"/>
        </w:rPr>
        <w:t>We might put this by saying that Penelope’s beliefs are not really, or at least not directly</w:t>
      </w:r>
      <w:r w:rsidR="008173F3" w:rsidRPr="003E660F">
        <w:rPr>
          <w:rFonts w:cs="Times New Roman"/>
        </w:rPr>
        <w:t>,</w:t>
      </w:r>
      <w:r w:rsidRPr="003E660F">
        <w:rPr>
          <w:rFonts w:cs="Times New Roman"/>
        </w:rPr>
        <w:t xml:space="preserve"> about the object Venus itself. Frege claimed that </w:t>
      </w:r>
      <w:r w:rsidR="008173F3" w:rsidRPr="003E660F">
        <w:rPr>
          <w:rFonts w:cs="Times New Roman"/>
        </w:rPr>
        <w:t>a name has</w:t>
      </w:r>
      <w:r w:rsidRPr="003E660F">
        <w:rPr>
          <w:rFonts w:cs="Times New Roman"/>
        </w:rPr>
        <w:t xml:space="preserve"> </w:t>
      </w:r>
      <w:r w:rsidR="003E660F">
        <w:rPr>
          <w:rFonts w:cs="Times New Roman"/>
        </w:rPr>
        <w:t>both a reference</w:t>
      </w:r>
      <w:r w:rsidR="008173F3" w:rsidRPr="003E660F">
        <w:rPr>
          <w:rFonts w:cs="Times New Roman"/>
        </w:rPr>
        <w:t xml:space="preserve"> and a ‘sense’, where the sense of a name is some </w:t>
      </w:r>
      <w:r w:rsidR="003E660F">
        <w:rPr>
          <w:rFonts w:cs="Times New Roman"/>
        </w:rPr>
        <w:t xml:space="preserve">‘mode of presentation’ of the </w:t>
      </w:r>
      <w:r w:rsidR="008173F3" w:rsidRPr="003E660F">
        <w:rPr>
          <w:rFonts w:cs="Times New Roman"/>
        </w:rPr>
        <w:t>reference. The names ‘Hesperus’ and ‘Phosphorus’ have the same reference but different senses: the</w:t>
      </w:r>
      <w:r w:rsidR="00F859F6" w:rsidRPr="003E660F">
        <w:rPr>
          <w:rFonts w:cs="Times New Roman"/>
        </w:rPr>
        <w:t>y</w:t>
      </w:r>
      <w:r w:rsidR="008173F3" w:rsidRPr="003E660F">
        <w:rPr>
          <w:rFonts w:cs="Times New Roman"/>
        </w:rPr>
        <w:t xml:space="preserve"> present the same object in different ways.</w:t>
      </w:r>
      <w:r w:rsidR="00F859F6" w:rsidRPr="003E660F">
        <w:rPr>
          <w:rFonts w:cs="Times New Roman"/>
        </w:rPr>
        <w:t xml:space="preserve"> The object of Penelope’s belief is sensitive to sense as well as reference. </w:t>
      </w:r>
      <w:r w:rsidR="00A62823" w:rsidRPr="003E660F">
        <w:rPr>
          <w:rFonts w:cs="Times New Roman"/>
        </w:rPr>
        <w:t>To summarise this thought, I’ll sa</w:t>
      </w:r>
      <w:r w:rsidR="003E660F">
        <w:rPr>
          <w:rFonts w:cs="Times New Roman"/>
        </w:rPr>
        <w:t xml:space="preserve">y in a rough and ready way that </w:t>
      </w:r>
      <w:r w:rsidR="00A62823" w:rsidRPr="003E660F">
        <w:rPr>
          <w:rFonts w:cs="Times New Roman"/>
        </w:rPr>
        <w:t>what an agent believes about an object can depend on how that object is designated.</w:t>
      </w:r>
      <w:r w:rsidR="000168CE" w:rsidRPr="003E660F">
        <w:rPr>
          <w:rStyle w:val="FootnoteReference"/>
          <w:rFonts w:cs="Times New Roman"/>
        </w:rPr>
        <w:footnoteReference w:id="2"/>
      </w:r>
    </w:p>
    <w:p w14:paraId="24B19A3C" w14:textId="77116C89" w:rsidR="00690BD0" w:rsidRPr="003E660F" w:rsidRDefault="00690BD0" w:rsidP="001859AE">
      <w:pPr>
        <w:jc w:val="both"/>
        <w:rPr>
          <w:rFonts w:cs="Times New Roman"/>
        </w:rPr>
      </w:pPr>
      <w:r w:rsidRPr="003E660F">
        <w:rPr>
          <w:rFonts w:cs="Times New Roman"/>
        </w:rPr>
        <w:t>What goes for belief also goes for credences. Thus the following two claims can be true together, without Penelope being irrational:</w:t>
      </w:r>
    </w:p>
    <w:p w14:paraId="350CC3F0" w14:textId="13849EFC" w:rsidR="00690BD0" w:rsidRPr="003E660F" w:rsidRDefault="00690BD0" w:rsidP="001859AE">
      <w:pPr>
        <w:pStyle w:val="ListParagraph"/>
        <w:numPr>
          <w:ilvl w:val="0"/>
          <w:numId w:val="2"/>
        </w:numPr>
        <w:jc w:val="both"/>
        <w:rPr>
          <w:rFonts w:cs="Times New Roman"/>
        </w:rPr>
      </w:pPr>
      <w:r w:rsidRPr="003E660F">
        <w:rPr>
          <w:rFonts w:cs="Times New Roman"/>
        </w:rPr>
        <w:t>Penelope has a high credence that Hesperus is over there</w:t>
      </w:r>
    </w:p>
    <w:p w14:paraId="45C5ADB9" w14:textId="2E927ED2" w:rsidR="00690BD0" w:rsidRPr="003E660F" w:rsidRDefault="00690BD0" w:rsidP="001859AE">
      <w:pPr>
        <w:pStyle w:val="ListParagraph"/>
        <w:numPr>
          <w:ilvl w:val="0"/>
          <w:numId w:val="2"/>
        </w:numPr>
        <w:jc w:val="both"/>
        <w:rPr>
          <w:rFonts w:cs="Times New Roman"/>
        </w:rPr>
      </w:pPr>
      <w:r w:rsidRPr="003E660F">
        <w:rPr>
          <w:rFonts w:cs="Times New Roman"/>
        </w:rPr>
        <w:t>Penelope has a low credence that Phosphorus is over there</w:t>
      </w:r>
    </w:p>
    <w:p w14:paraId="45180DB7" w14:textId="6FB36830" w:rsidR="00690BD0" w:rsidRPr="003E660F" w:rsidRDefault="00690BD0" w:rsidP="001859AE">
      <w:pPr>
        <w:jc w:val="both"/>
        <w:rPr>
          <w:rFonts w:cs="Times New Roman"/>
        </w:rPr>
      </w:pPr>
      <w:r>
        <w:rPr>
          <w:rFonts w:cs="Times New Roman"/>
        </w:rPr>
        <w:t xml:space="preserve">Thus what credence an agent has </w:t>
      </w:r>
      <w:r w:rsidRPr="003E660F">
        <w:rPr>
          <w:rFonts w:cs="Times New Roman"/>
        </w:rPr>
        <w:t>in some proposition about an object can depend on how that object is design</w:t>
      </w:r>
      <w:r>
        <w:rPr>
          <w:rFonts w:cs="Times New Roman"/>
        </w:rPr>
        <w:t>at</w:t>
      </w:r>
      <w:r w:rsidRPr="003E660F">
        <w:rPr>
          <w:rFonts w:cs="Times New Roman"/>
        </w:rPr>
        <w:t xml:space="preserve">ed. </w:t>
      </w:r>
    </w:p>
    <w:p w14:paraId="40B95C88" w14:textId="0AD96F2E" w:rsidR="00690BD0" w:rsidRDefault="00690BD0" w:rsidP="001859AE">
      <w:pPr>
        <w:jc w:val="both"/>
        <w:rPr>
          <w:rFonts w:cs="Times New Roman"/>
        </w:rPr>
      </w:pPr>
      <w:r w:rsidRPr="003E660F">
        <w:rPr>
          <w:rFonts w:cs="Times New Roman"/>
        </w:rPr>
        <w:t>Obviously</w:t>
      </w:r>
      <w:r>
        <w:rPr>
          <w:rFonts w:cs="Times New Roman"/>
        </w:rPr>
        <w:t>,</w:t>
      </w:r>
      <w:r w:rsidRPr="003E660F">
        <w:rPr>
          <w:rFonts w:cs="Times New Roman"/>
        </w:rPr>
        <w:t xml:space="preserve"> this point still stands if </w:t>
      </w:r>
      <w:r>
        <w:rPr>
          <w:rFonts w:cs="Times New Roman"/>
        </w:rPr>
        <w:t xml:space="preserve">we substitute a person for a planet. Let us suppose that Penelope – a doctor, no longer living in ancient times – is expecting two patients, Alice </w:t>
      </w:r>
      <w:r>
        <w:rPr>
          <w:rFonts w:cs="Times New Roman"/>
        </w:rPr>
        <w:lastRenderedPageBreak/>
        <w:t xml:space="preserve">and Belinda, to arrive by ambulance. Reception call to say that her first patient, Ms Smith, has arrived and is waiting in the foyer to be seen. Penelope is sure that Ms Smith must be either Alice or Belinda, but she doesn’t know which. Thus the following two claims can be true, even though – let us suppose – Ms Smith is in fact Alice: </w:t>
      </w:r>
    </w:p>
    <w:p w14:paraId="4300FE6D" w14:textId="21B7C5C0" w:rsidR="00690BD0" w:rsidRPr="003E660F" w:rsidRDefault="00690BD0" w:rsidP="001859AE">
      <w:pPr>
        <w:pStyle w:val="ListParagraph"/>
        <w:numPr>
          <w:ilvl w:val="0"/>
          <w:numId w:val="3"/>
        </w:numPr>
        <w:jc w:val="both"/>
        <w:rPr>
          <w:rFonts w:cs="Times New Roman"/>
        </w:rPr>
      </w:pPr>
      <w:r w:rsidRPr="003E660F">
        <w:rPr>
          <w:rFonts w:cs="Times New Roman"/>
        </w:rPr>
        <w:t xml:space="preserve">Penelope has a credence </w:t>
      </w:r>
      <w:r>
        <w:rPr>
          <w:rFonts w:cs="Times New Roman"/>
        </w:rPr>
        <w:t xml:space="preserve">greater than 0.9 </w:t>
      </w:r>
      <w:r w:rsidRPr="003E660F">
        <w:rPr>
          <w:rFonts w:cs="Times New Roman"/>
        </w:rPr>
        <w:t xml:space="preserve">that </w:t>
      </w:r>
      <w:r>
        <w:rPr>
          <w:rFonts w:cs="Times New Roman"/>
        </w:rPr>
        <w:t>Ms Smith is the first patient to arrive.</w:t>
      </w:r>
    </w:p>
    <w:p w14:paraId="182D798F" w14:textId="0F4FA4B9" w:rsidR="00690BD0" w:rsidRPr="003E660F" w:rsidRDefault="00690BD0" w:rsidP="001859AE">
      <w:pPr>
        <w:pStyle w:val="ListParagraph"/>
        <w:numPr>
          <w:ilvl w:val="0"/>
          <w:numId w:val="3"/>
        </w:numPr>
        <w:jc w:val="both"/>
        <w:rPr>
          <w:rFonts w:cs="Times New Roman"/>
        </w:rPr>
      </w:pPr>
      <w:r>
        <w:rPr>
          <w:rFonts w:cs="Times New Roman"/>
        </w:rPr>
        <w:t>Penelope has a credence</w:t>
      </w:r>
      <w:r w:rsidR="00C605A7">
        <w:rPr>
          <w:rFonts w:cs="Times New Roman"/>
        </w:rPr>
        <w:t xml:space="preserve"> lower </w:t>
      </w:r>
      <w:r>
        <w:rPr>
          <w:rFonts w:cs="Times New Roman"/>
        </w:rPr>
        <w:t>than 0.9 that Alice is the first patient to arrive.</w:t>
      </w:r>
    </w:p>
    <w:p w14:paraId="36E6497B" w14:textId="6E828C88" w:rsidR="00690BD0" w:rsidRDefault="00690BD0" w:rsidP="001859AE">
      <w:pPr>
        <w:jc w:val="both"/>
        <w:rPr>
          <w:rFonts w:cs="Times New Roman"/>
        </w:rPr>
      </w:pPr>
      <w:r>
        <w:rPr>
          <w:rFonts w:cs="Times New Roman"/>
        </w:rPr>
        <w:t xml:space="preserve">Because Penelope’s credences about Ms Smith and Alice are different, the prospects for Ms Smith and Alice (as calculated using Penelope’s credences) can be different. To see this, let us suppose that Penelope knows that both Alice and Belinda have an acute illness, which can be fully cured by a medicine of which Penelope has only a single dose available. She considers the policy </w:t>
      </w:r>
      <w:r w:rsidR="00BE0386">
        <w:rPr>
          <w:rFonts w:cs="Times New Roman"/>
        </w:rPr>
        <w:t xml:space="preserve">(call it ‘first come, first served’) </w:t>
      </w:r>
      <w:r>
        <w:rPr>
          <w:rFonts w:cs="Times New Roman"/>
        </w:rPr>
        <w:t xml:space="preserve">of just assigning it to the first patient of the two to arrive – i.e. to Ms Smith. What are the prospects for Ms Smith and Alice under this policy? The prospects for Ms Smith are excellent: Penelope knows that this policy will result in Ms Smith getting the curative dose which (let’s suppose) Penelope is certain would give Ms Smith a long and healthy life. The prospects for Alice are much less good. Penelope does not know whether Alice is Ms Smith – in which case under this policy Alice will get the curative dose – or whether Alice is not Ms Smith – in which case under this policy Alice will not get the curative dose. Thus the prospects are less good for Alice than for Ms Smith under this policy – even though Alice and Ms Smith are the very same person. </w:t>
      </w:r>
    </w:p>
    <w:p w14:paraId="0CD92C10" w14:textId="78F02845" w:rsidR="00690BD0" w:rsidRPr="001859AE" w:rsidRDefault="00690BD0" w:rsidP="001859AE">
      <w:pPr>
        <w:jc w:val="both"/>
        <w:rPr>
          <w:rFonts w:cs="Times New Roman"/>
          <w:b/>
          <w:bCs/>
        </w:rPr>
      </w:pPr>
      <w:r w:rsidRPr="003E660F">
        <w:rPr>
          <w:rFonts w:cs="Times New Roman"/>
        </w:rPr>
        <w:t>A useful image here comes from Gareth Evans</w:t>
      </w:r>
      <w:r>
        <w:rPr>
          <w:rFonts w:cs="Times New Roman"/>
        </w:rPr>
        <w:t xml:space="preserve"> </w:t>
      </w:r>
      <w:sdt>
        <w:sdtPr>
          <w:rPr>
            <w:rFonts w:cs="Times New Roman"/>
          </w:rPr>
          <w:id w:val="1322931215"/>
          <w:citation/>
        </w:sdtPr>
        <w:sdtEndPr/>
        <w:sdtContent>
          <w:r>
            <w:rPr>
              <w:rFonts w:cs="Times New Roman"/>
            </w:rPr>
            <w:fldChar w:fldCharType="begin"/>
          </w:r>
          <w:r>
            <w:rPr>
              <w:rFonts w:cs="Times New Roman"/>
            </w:rPr>
            <w:instrText xml:space="preserve">CITATION Eva821 \t  \l 2057 </w:instrText>
          </w:r>
          <w:r>
            <w:rPr>
              <w:rFonts w:cs="Times New Roman"/>
            </w:rPr>
            <w:fldChar w:fldCharType="separate"/>
          </w:r>
          <w:r w:rsidR="00122864" w:rsidRPr="00122864">
            <w:rPr>
              <w:rFonts w:cs="Times New Roman"/>
              <w:noProof/>
            </w:rPr>
            <w:t>(Evans 1982)</w:t>
          </w:r>
          <w:r>
            <w:rPr>
              <w:rFonts w:cs="Times New Roman"/>
            </w:rPr>
            <w:fldChar w:fldCharType="end"/>
          </w:r>
        </w:sdtContent>
      </w:sdt>
      <w:r w:rsidRPr="003E660F">
        <w:rPr>
          <w:rFonts w:cs="Times New Roman"/>
        </w:rPr>
        <w:t>, who imagines us collecting ‘dossiers’ of information on various objects</w:t>
      </w:r>
      <w:r>
        <w:rPr>
          <w:rFonts w:cs="Times New Roman"/>
        </w:rPr>
        <w:t xml:space="preserve"> including people</w:t>
      </w:r>
      <w:r w:rsidRPr="003E660F">
        <w:rPr>
          <w:rFonts w:cs="Times New Roman"/>
        </w:rPr>
        <w:t xml:space="preserve">. Penelope will have a dossier of information about </w:t>
      </w:r>
      <w:r>
        <w:rPr>
          <w:rFonts w:cs="Times New Roman"/>
        </w:rPr>
        <w:t xml:space="preserve">Alice – perhaps from emails they have exchanged, previous </w:t>
      </w:r>
      <w:r>
        <w:rPr>
          <w:rFonts w:cs="Times New Roman"/>
        </w:rPr>
        <w:lastRenderedPageBreak/>
        <w:t xml:space="preserve">meetings they have had, and so on. Penelope also has a dossier of information about Ms Smith, which will include the information that Ms Smith is the first visitor to arrive. </w:t>
      </w:r>
      <w:r w:rsidRPr="003E660F">
        <w:rPr>
          <w:rFonts w:cs="Times New Roman"/>
        </w:rPr>
        <w:t xml:space="preserve">Of course, this dossier could be added to further: </w:t>
      </w:r>
      <w:r>
        <w:rPr>
          <w:rFonts w:cs="Times New Roman"/>
        </w:rPr>
        <w:t xml:space="preserve">the receptionist might tell Penelope more about Ms Smith, and Penelope will eventually see and talk to Ms Smith when she meets her in the foyer. Thus Penelope has a dossier of information about Alice, and a dossier of information about Ms Smith, and she uses these dossiers (at whatever state they have reached at the time) when calculating the prospects for Alice and Ms Smith under a proposed policy. At some point, Penelope may discover that Alice is Ms Smith (perhaps – but not of course necessarily – at the moment when she sees Ms Smith) and Penelope will then merge the dossiers. But until the dossiers are merged, Penelope’s calculations of the prospects for Ms Smith and Alice can diverge because she has different information about each of them. </w:t>
      </w:r>
    </w:p>
    <w:p w14:paraId="16ABC42D" w14:textId="4C346BFF" w:rsidR="00690BD0" w:rsidRDefault="00690BD0" w:rsidP="001859AE">
      <w:pPr>
        <w:jc w:val="both"/>
        <w:rPr>
          <w:rFonts w:cs="Times New Roman"/>
        </w:rPr>
      </w:pPr>
      <w:r w:rsidRPr="003E660F">
        <w:rPr>
          <w:rFonts w:cs="Times New Roman"/>
        </w:rPr>
        <w:t xml:space="preserve">This shows that the concept of </w:t>
      </w:r>
      <w:r>
        <w:rPr>
          <w:rFonts w:cs="Times New Roman"/>
          <w:i/>
        </w:rPr>
        <w:t>ex ante</w:t>
      </w:r>
      <w:r w:rsidRPr="003E660F">
        <w:rPr>
          <w:rFonts w:cs="Times New Roman"/>
        </w:rPr>
        <w:t xml:space="preserve"> superiority is not fully defined as it stands: it talks about the prospects for people without specifying how these people should be designated, and (as we have seen) how people are designated makes a difference to their prospects. </w:t>
      </w:r>
      <w:r w:rsidR="00BE0386">
        <w:rPr>
          <w:rFonts w:cs="Times New Roman"/>
        </w:rPr>
        <w:t>Simply</w:t>
      </w:r>
      <w:r w:rsidRPr="003E660F">
        <w:rPr>
          <w:rFonts w:cs="Times New Roman"/>
        </w:rPr>
        <w:t xml:space="preserve"> applying the concept without resolving this issue can lead to contradiction</w:t>
      </w:r>
      <w:r w:rsidR="00BE0386">
        <w:rPr>
          <w:rFonts w:cs="Times New Roman"/>
        </w:rPr>
        <w:t>, as we can easily</w:t>
      </w:r>
      <w:r w:rsidRPr="003E660F">
        <w:rPr>
          <w:rFonts w:cs="Times New Roman"/>
        </w:rPr>
        <w:t xml:space="preserve"> see using our </w:t>
      </w:r>
      <w:r w:rsidR="00BE0386">
        <w:rPr>
          <w:rFonts w:cs="Times New Roman"/>
        </w:rPr>
        <w:t>example</w:t>
      </w:r>
      <w:r w:rsidRPr="003E660F">
        <w:rPr>
          <w:rFonts w:cs="Times New Roman"/>
        </w:rPr>
        <w:t xml:space="preserve">. </w:t>
      </w:r>
      <w:r>
        <w:rPr>
          <w:rFonts w:cs="Times New Roman"/>
        </w:rPr>
        <w:t xml:space="preserve">Let us suppose the receptionist tells Penelope both that Ms Smith is already in the foyer, and that Ms Jones (Penelope’s other patient) is delayed and will arrive a bit later. Penelope is sure that there are only two patients arriving today, so she is sure that either Ms Smith is Alice and Ms Jones is Belinda, or vice versa. We can suppose (just to make the example simple) that Penelope divides her credence equally between these two possibilities. Now Penelope considers two policies she could adopt with the dose: she could </w:t>
      </w:r>
      <w:r w:rsidR="00BE0386">
        <w:rPr>
          <w:rFonts w:cs="Times New Roman"/>
        </w:rPr>
        <w:t>follow the policy ‘first come, first served’</w:t>
      </w:r>
      <w:r>
        <w:rPr>
          <w:rFonts w:cs="Times New Roman"/>
        </w:rPr>
        <w:t xml:space="preserve">; or she could split it in two (call this ‘split’), which will render it much less effective for each individual patient. We can suppose that Penelope is sure that either patient </w:t>
      </w:r>
      <w:r>
        <w:rPr>
          <w:rFonts w:cs="Times New Roman"/>
        </w:rPr>
        <w:lastRenderedPageBreak/>
        <w:t xml:space="preserve">would have a large amount of well-being (10) on receiving a full-dose; a much smaller amount of well-being (4) on receiving a half-dose; and a much smaller amount of well-being still (0) on receiving no dose at all. Penelope then calculates the prospects for Alice and Belinda as follows: </w:t>
      </w:r>
    </w:p>
    <w:tbl>
      <w:tblPr>
        <w:tblStyle w:val="TableGrid"/>
        <w:tblW w:w="0" w:type="auto"/>
        <w:tblLook w:val="04A0" w:firstRow="1" w:lastRow="0" w:firstColumn="1" w:lastColumn="0" w:noHBand="0" w:noVBand="1"/>
      </w:tblPr>
      <w:tblGrid>
        <w:gridCol w:w="1693"/>
        <w:gridCol w:w="2802"/>
        <w:gridCol w:w="2700"/>
        <w:gridCol w:w="1821"/>
      </w:tblGrid>
      <w:tr w:rsidR="00690BD0" w:rsidRPr="003E660F" w14:paraId="12CD961B" w14:textId="62F11325" w:rsidTr="00144B3B">
        <w:trPr>
          <w:trHeight w:val="187"/>
        </w:trPr>
        <w:tc>
          <w:tcPr>
            <w:tcW w:w="1693" w:type="dxa"/>
          </w:tcPr>
          <w:p w14:paraId="303D48ED" w14:textId="77777777" w:rsidR="00690BD0" w:rsidRPr="003E660F" w:rsidRDefault="00690BD0" w:rsidP="000E0EFB">
            <w:pPr>
              <w:spacing w:line="360" w:lineRule="auto"/>
              <w:jc w:val="both"/>
              <w:rPr>
                <w:rFonts w:cs="Times New Roman"/>
              </w:rPr>
            </w:pPr>
          </w:p>
        </w:tc>
        <w:tc>
          <w:tcPr>
            <w:tcW w:w="2802" w:type="dxa"/>
          </w:tcPr>
          <w:p w14:paraId="3A236724" w14:textId="431AC9B7" w:rsidR="00690BD0" w:rsidRPr="003E660F" w:rsidRDefault="00690BD0" w:rsidP="000E0EFB">
            <w:pPr>
              <w:spacing w:line="360" w:lineRule="auto"/>
              <w:jc w:val="both"/>
              <w:rPr>
                <w:rFonts w:cs="Times New Roman"/>
              </w:rPr>
            </w:pPr>
            <w:r w:rsidRPr="003E660F">
              <w:rPr>
                <w:rFonts w:cs="Times New Roman"/>
              </w:rPr>
              <w:t>State S</w:t>
            </w:r>
            <w:r w:rsidRPr="003E660F">
              <w:rPr>
                <w:rFonts w:cs="Times New Roman"/>
                <w:vertAlign w:val="subscript"/>
              </w:rPr>
              <w:t>1</w:t>
            </w:r>
            <w:r w:rsidRPr="003E660F">
              <w:rPr>
                <w:rFonts w:cs="Times New Roman"/>
              </w:rPr>
              <w:t xml:space="preserve">: </w:t>
            </w:r>
            <w:r>
              <w:rPr>
                <w:rFonts w:cs="Times New Roman"/>
              </w:rPr>
              <w:t>Alice is Ms Smith, and Belinda is Ms Jones</w:t>
            </w:r>
          </w:p>
        </w:tc>
        <w:tc>
          <w:tcPr>
            <w:tcW w:w="2700" w:type="dxa"/>
          </w:tcPr>
          <w:p w14:paraId="7B38AF02" w14:textId="7E5D2685" w:rsidR="00690BD0" w:rsidRPr="003E660F" w:rsidRDefault="00690BD0" w:rsidP="000E0EFB">
            <w:pPr>
              <w:spacing w:line="360" w:lineRule="auto"/>
              <w:jc w:val="both"/>
              <w:rPr>
                <w:rFonts w:cs="Times New Roman"/>
              </w:rPr>
            </w:pPr>
            <w:r w:rsidRPr="003E660F">
              <w:rPr>
                <w:rFonts w:cs="Times New Roman"/>
              </w:rPr>
              <w:t>State S</w:t>
            </w:r>
            <w:r w:rsidRPr="003E660F">
              <w:rPr>
                <w:rFonts w:cs="Times New Roman"/>
              </w:rPr>
              <w:softHyphen/>
            </w:r>
            <w:r w:rsidRPr="003E660F">
              <w:rPr>
                <w:rFonts w:cs="Times New Roman"/>
                <w:vertAlign w:val="subscript"/>
              </w:rPr>
              <w:t>2</w:t>
            </w:r>
            <w:r w:rsidRPr="003E660F">
              <w:rPr>
                <w:rFonts w:cs="Times New Roman"/>
              </w:rPr>
              <w:t xml:space="preserve">: </w:t>
            </w:r>
            <w:r>
              <w:rPr>
                <w:rFonts w:cs="Times New Roman"/>
              </w:rPr>
              <w:t>Alice is Ms Jones, and Belinda is Ms Smith</w:t>
            </w:r>
          </w:p>
        </w:tc>
        <w:tc>
          <w:tcPr>
            <w:tcW w:w="1821" w:type="dxa"/>
          </w:tcPr>
          <w:p w14:paraId="557855CC" w14:textId="7C8BC142" w:rsidR="00690BD0" w:rsidRPr="003E660F" w:rsidRDefault="00690BD0" w:rsidP="000E0EFB">
            <w:pPr>
              <w:spacing w:line="360" w:lineRule="auto"/>
              <w:jc w:val="both"/>
              <w:rPr>
                <w:rFonts w:cs="Times New Roman"/>
                <w:i/>
              </w:rPr>
            </w:pPr>
            <w:r w:rsidRPr="003E660F">
              <w:rPr>
                <w:rFonts w:cs="Times New Roman"/>
                <w:i/>
              </w:rPr>
              <w:t>Prospects</w:t>
            </w:r>
          </w:p>
        </w:tc>
      </w:tr>
      <w:tr w:rsidR="00690BD0" w:rsidRPr="003E660F" w14:paraId="1BAE949C" w14:textId="77777777" w:rsidTr="00144B3B">
        <w:tc>
          <w:tcPr>
            <w:tcW w:w="1693" w:type="dxa"/>
          </w:tcPr>
          <w:p w14:paraId="62C91D9F" w14:textId="77777777" w:rsidR="00690BD0" w:rsidRPr="003E660F" w:rsidRDefault="00690BD0" w:rsidP="000E0EFB">
            <w:pPr>
              <w:spacing w:line="360" w:lineRule="auto"/>
              <w:jc w:val="both"/>
              <w:rPr>
                <w:rFonts w:cs="Times New Roman"/>
                <w:i/>
              </w:rPr>
            </w:pPr>
          </w:p>
        </w:tc>
        <w:tc>
          <w:tcPr>
            <w:tcW w:w="2802" w:type="dxa"/>
          </w:tcPr>
          <w:p w14:paraId="5882571E" w14:textId="70687345" w:rsidR="00690BD0" w:rsidRPr="003E660F" w:rsidRDefault="00690BD0" w:rsidP="000E0EFB">
            <w:pPr>
              <w:spacing w:line="360" w:lineRule="auto"/>
              <w:jc w:val="both"/>
              <w:rPr>
                <w:rFonts w:cs="Times New Roman"/>
              </w:rPr>
            </w:pPr>
            <w:r w:rsidRPr="003E660F">
              <w:rPr>
                <w:rFonts w:cs="Times New Roman"/>
              </w:rPr>
              <w:t>P(S</w:t>
            </w:r>
            <w:r w:rsidRPr="003E660F">
              <w:rPr>
                <w:rFonts w:cs="Times New Roman"/>
                <w:vertAlign w:val="subscript"/>
              </w:rPr>
              <w:t>1</w:t>
            </w:r>
            <w:r w:rsidRPr="003E660F">
              <w:rPr>
                <w:rFonts w:cs="Times New Roman"/>
              </w:rPr>
              <w:t>) = 0.5</w:t>
            </w:r>
          </w:p>
        </w:tc>
        <w:tc>
          <w:tcPr>
            <w:tcW w:w="2700" w:type="dxa"/>
          </w:tcPr>
          <w:p w14:paraId="1B550B7E" w14:textId="522E98B6" w:rsidR="00690BD0" w:rsidRPr="003E660F" w:rsidRDefault="00690BD0" w:rsidP="000E0EFB">
            <w:pPr>
              <w:spacing w:line="360" w:lineRule="auto"/>
              <w:jc w:val="both"/>
              <w:rPr>
                <w:rFonts w:cs="Times New Roman"/>
              </w:rPr>
            </w:pPr>
            <w:r w:rsidRPr="003E660F">
              <w:rPr>
                <w:rFonts w:cs="Times New Roman"/>
              </w:rPr>
              <w:t>P(S</w:t>
            </w:r>
            <w:r w:rsidRPr="003E660F">
              <w:rPr>
                <w:rFonts w:cs="Times New Roman"/>
                <w:vertAlign w:val="subscript"/>
              </w:rPr>
              <w:t>2</w:t>
            </w:r>
            <w:r w:rsidRPr="003E660F">
              <w:rPr>
                <w:rFonts w:cs="Times New Roman"/>
              </w:rPr>
              <w:t>) = 0.5</w:t>
            </w:r>
          </w:p>
        </w:tc>
        <w:tc>
          <w:tcPr>
            <w:tcW w:w="1821" w:type="dxa"/>
          </w:tcPr>
          <w:p w14:paraId="28A6A256" w14:textId="77777777" w:rsidR="00690BD0" w:rsidRPr="003E660F" w:rsidRDefault="00690BD0" w:rsidP="000E0EFB">
            <w:pPr>
              <w:spacing w:line="360" w:lineRule="auto"/>
              <w:jc w:val="both"/>
              <w:rPr>
                <w:rFonts w:cs="Times New Roman"/>
              </w:rPr>
            </w:pPr>
          </w:p>
        </w:tc>
      </w:tr>
      <w:tr w:rsidR="00690BD0" w:rsidRPr="003E660F" w14:paraId="79C28128" w14:textId="04804768" w:rsidTr="00144B3B">
        <w:tc>
          <w:tcPr>
            <w:tcW w:w="1693" w:type="dxa"/>
          </w:tcPr>
          <w:p w14:paraId="740432B7" w14:textId="2130EDD6" w:rsidR="00690BD0" w:rsidRPr="003E660F" w:rsidRDefault="00690BD0" w:rsidP="003633F1">
            <w:pPr>
              <w:spacing w:line="360" w:lineRule="auto"/>
              <w:rPr>
                <w:rFonts w:cs="Times New Roman"/>
                <w:i/>
              </w:rPr>
            </w:pPr>
            <w:r>
              <w:rPr>
                <w:rFonts w:cs="Times New Roman"/>
                <w:i/>
              </w:rPr>
              <w:t>First come, first served</w:t>
            </w:r>
          </w:p>
        </w:tc>
        <w:tc>
          <w:tcPr>
            <w:tcW w:w="2802" w:type="dxa"/>
          </w:tcPr>
          <w:p w14:paraId="6D20E350" w14:textId="77777777" w:rsidR="00690BD0" w:rsidRDefault="00690BD0" w:rsidP="000E0EFB">
            <w:pPr>
              <w:spacing w:line="360" w:lineRule="auto"/>
              <w:jc w:val="both"/>
              <w:rPr>
                <w:rFonts w:cs="Times New Roman"/>
              </w:rPr>
            </w:pPr>
            <w:r>
              <w:rPr>
                <w:rFonts w:cs="Times New Roman"/>
              </w:rPr>
              <w:t>Alice: 10</w:t>
            </w:r>
          </w:p>
          <w:p w14:paraId="601A9D6D" w14:textId="772E7F8E" w:rsidR="00690BD0" w:rsidRPr="003E660F" w:rsidRDefault="00690BD0" w:rsidP="000E0EFB">
            <w:pPr>
              <w:spacing w:line="360" w:lineRule="auto"/>
              <w:jc w:val="both"/>
              <w:rPr>
                <w:rFonts w:cs="Times New Roman"/>
              </w:rPr>
            </w:pPr>
            <w:r>
              <w:rPr>
                <w:rFonts w:cs="Times New Roman"/>
              </w:rPr>
              <w:t>Belinda: 0</w:t>
            </w:r>
          </w:p>
        </w:tc>
        <w:tc>
          <w:tcPr>
            <w:tcW w:w="2700" w:type="dxa"/>
          </w:tcPr>
          <w:p w14:paraId="0BD2F4A3" w14:textId="77777777" w:rsidR="00690BD0" w:rsidRDefault="00690BD0" w:rsidP="000E0EFB">
            <w:pPr>
              <w:spacing w:line="360" w:lineRule="auto"/>
              <w:jc w:val="both"/>
              <w:rPr>
                <w:rFonts w:cs="Times New Roman"/>
              </w:rPr>
            </w:pPr>
            <w:r>
              <w:rPr>
                <w:rFonts w:cs="Times New Roman"/>
              </w:rPr>
              <w:t>Alice: 0</w:t>
            </w:r>
          </w:p>
          <w:p w14:paraId="78163DAE" w14:textId="50C5FEF1" w:rsidR="00690BD0" w:rsidRPr="003E660F" w:rsidRDefault="00690BD0" w:rsidP="000E0EFB">
            <w:pPr>
              <w:spacing w:line="360" w:lineRule="auto"/>
              <w:jc w:val="both"/>
              <w:rPr>
                <w:rFonts w:cs="Times New Roman"/>
              </w:rPr>
            </w:pPr>
            <w:r>
              <w:rPr>
                <w:rFonts w:cs="Times New Roman"/>
              </w:rPr>
              <w:t>Belinda: 10</w:t>
            </w:r>
          </w:p>
        </w:tc>
        <w:tc>
          <w:tcPr>
            <w:tcW w:w="1821" w:type="dxa"/>
          </w:tcPr>
          <w:p w14:paraId="037725D2" w14:textId="77777777" w:rsidR="00690BD0" w:rsidRDefault="00690BD0" w:rsidP="000E0EFB">
            <w:pPr>
              <w:spacing w:line="360" w:lineRule="auto"/>
              <w:jc w:val="both"/>
              <w:rPr>
                <w:rFonts w:cs="Times New Roman"/>
              </w:rPr>
            </w:pPr>
            <w:r>
              <w:rPr>
                <w:rFonts w:cs="Times New Roman"/>
              </w:rPr>
              <w:t>Alice: 5</w:t>
            </w:r>
          </w:p>
          <w:p w14:paraId="48402185" w14:textId="516C68C6" w:rsidR="00690BD0" w:rsidRPr="003E660F" w:rsidRDefault="00690BD0" w:rsidP="000E0EFB">
            <w:pPr>
              <w:spacing w:line="360" w:lineRule="auto"/>
              <w:jc w:val="both"/>
              <w:rPr>
                <w:rFonts w:cs="Times New Roman"/>
              </w:rPr>
            </w:pPr>
            <w:r>
              <w:rPr>
                <w:rFonts w:cs="Times New Roman"/>
              </w:rPr>
              <w:t>Belinda: 5</w:t>
            </w:r>
          </w:p>
        </w:tc>
      </w:tr>
      <w:tr w:rsidR="00690BD0" w:rsidRPr="003E660F" w14:paraId="440F47B1" w14:textId="5F52C2C2" w:rsidTr="00144B3B">
        <w:tc>
          <w:tcPr>
            <w:tcW w:w="1693" w:type="dxa"/>
          </w:tcPr>
          <w:p w14:paraId="35E1C3FB" w14:textId="7CBDE6F7" w:rsidR="00690BD0" w:rsidRPr="003E660F" w:rsidRDefault="00690BD0" w:rsidP="000E0EFB">
            <w:pPr>
              <w:spacing w:line="360" w:lineRule="auto"/>
              <w:jc w:val="both"/>
              <w:rPr>
                <w:rFonts w:cs="Times New Roman"/>
                <w:i/>
              </w:rPr>
            </w:pPr>
            <w:r>
              <w:rPr>
                <w:rFonts w:cs="Times New Roman"/>
                <w:i/>
              </w:rPr>
              <w:t>Split</w:t>
            </w:r>
          </w:p>
        </w:tc>
        <w:tc>
          <w:tcPr>
            <w:tcW w:w="2802" w:type="dxa"/>
          </w:tcPr>
          <w:p w14:paraId="4F2F575B" w14:textId="77777777" w:rsidR="00690BD0" w:rsidRDefault="00690BD0" w:rsidP="000E0EFB">
            <w:pPr>
              <w:spacing w:line="360" w:lineRule="auto"/>
              <w:jc w:val="both"/>
              <w:rPr>
                <w:rFonts w:cs="Times New Roman"/>
              </w:rPr>
            </w:pPr>
            <w:r>
              <w:rPr>
                <w:rFonts w:cs="Times New Roman"/>
              </w:rPr>
              <w:t>Alice: 4</w:t>
            </w:r>
          </w:p>
          <w:p w14:paraId="3128561E" w14:textId="6A0A0AD2" w:rsidR="00690BD0" w:rsidRPr="003E660F" w:rsidRDefault="00690BD0" w:rsidP="000E0EFB">
            <w:pPr>
              <w:spacing w:line="360" w:lineRule="auto"/>
              <w:jc w:val="both"/>
              <w:rPr>
                <w:rFonts w:cs="Times New Roman"/>
              </w:rPr>
            </w:pPr>
            <w:r>
              <w:rPr>
                <w:rFonts w:cs="Times New Roman"/>
              </w:rPr>
              <w:t>Belinda: 4</w:t>
            </w:r>
          </w:p>
        </w:tc>
        <w:tc>
          <w:tcPr>
            <w:tcW w:w="2700" w:type="dxa"/>
          </w:tcPr>
          <w:p w14:paraId="6BA173A6" w14:textId="77777777" w:rsidR="00690BD0" w:rsidRDefault="00690BD0" w:rsidP="000E0EFB">
            <w:pPr>
              <w:spacing w:line="360" w:lineRule="auto"/>
              <w:jc w:val="both"/>
              <w:rPr>
                <w:rFonts w:cs="Times New Roman"/>
              </w:rPr>
            </w:pPr>
            <w:r>
              <w:rPr>
                <w:rFonts w:cs="Times New Roman"/>
              </w:rPr>
              <w:t>Alice: 4</w:t>
            </w:r>
          </w:p>
          <w:p w14:paraId="737C7FE2" w14:textId="17FAF5E8" w:rsidR="00690BD0" w:rsidRPr="003E660F" w:rsidRDefault="00690BD0" w:rsidP="000E0EFB">
            <w:pPr>
              <w:spacing w:line="360" w:lineRule="auto"/>
              <w:jc w:val="both"/>
              <w:rPr>
                <w:rFonts w:cs="Times New Roman"/>
              </w:rPr>
            </w:pPr>
            <w:r>
              <w:rPr>
                <w:rFonts w:cs="Times New Roman"/>
              </w:rPr>
              <w:t>Belinda: 4</w:t>
            </w:r>
          </w:p>
        </w:tc>
        <w:tc>
          <w:tcPr>
            <w:tcW w:w="1821" w:type="dxa"/>
          </w:tcPr>
          <w:p w14:paraId="551A23F0" w14:textId="77777777" w:rsidR="00690BD0" w:rsidRDefault="00690BD0" w:rsidP="000E0EFB">
            <w:pPr>
              <w:spacing w:line="360" w:lineRule="auto"/>
              <w:jc w:val="both"/>
              <w:rPr>
                <w:rFonts w:cs="Times New Roman"/>
              </w:rPr>
            </w:pPr>
            <w:r>
              <w:rPr>
                <w:rFonts w:cs="Times New Roman"/>
              </w:rPr>
              <w:t>Alice: 4</w:t>
            </w:r>
          </w:p>
          <w:p w14:paraId="05066558" w14:textId="74E74951" w:rsidR="00690BD0" w:rsidRPr="003E660F" w:rsidRDefault="00690BD0" w:rsidP="000E0EFB">
            <w:pPr>
              <w:spacing w:line="360" w:lineRule="auto"/>
              <w:jc w:val="both"/>
              <w:rPr>
                <w:rFonts w:cs="Times New Roman"/>
              </w:rPr>
            </w:pPr>
            <w:r>
              <w:rPr>
                <w:rFonts w:cs="Times New Roman"/>
              </w:rPr>
              <w:t>Belinda: 4</w:t>
            </w:r>
          </w:p>
        </w:tc>
      </w:tr>
    </w:tbl>
    <w:p w14:paraId="1EF314A5" w14:textId="034F910C" w:rsidR="00690BD0" w:rsidRPr="00AB3A1B" w:rsidRDefault="00690BD0" w:rsidP="001859AE">
      <w:pPr>
        <w:jc w:val="both"/>
        <w:rPr>
          <w:rFonts w:cs="Times New Roman"/>
          <w:i/>
        </w:rPr>
      </w:pPr>
      <w:r>
        <w:rPr>
          <w:rFonts w:cs="Times New Roman"/>
          <w:i/>
        </w:rPr>
        <w:t>Table 1</w:t>
      </w:r>
    </w:p>
    <w:p w14:paraId="40A33192" w14:textId="2356F909" w:rsidR="00690BD0" w:rsidRDefault="00690BD0" w:rsidP="001859AE">
      <w:pPr>
        <w:jc w:val="both"/>
        <w:rPr>
          <w:rFonts w:cs="Times New Roman"/>
        </w:rPr>
      </w:pPr>
      <w:r>
        <w:rPr>
          <w:rFonts w:cs="Times New Roman"/>
        </w:rPr>
        <w:t xml:space="preserve">From the table above, we can see that </w:t>
      </w:r>
      <w:r>
        <w:rPr>
          <w:rFonts w:cs="Times New Roman"/>
          <w:i/>
        </w:rPr>
        <w:t>First come, first served</w:t>
      </w:r>
      <w:r>
        <w:rPr>
          <w:rFonts w:cs="Times New Roman"/>
        </w:rPr>
        <w:t xml:space="preserve"> is</w:t>
      </w:r>
      <w:r>
        <w:rPr>
          <w:rFonts w:cs="Times New Roman"/>
          <w:i/>
        </w:rPr>
        <w:t xml:space="preserve"> ex ante</w:t>
      </w:r>
      <w:r>
        <w:rPr>
          <w:rFonts w:cs="Times New Roman"/>
        </w:rPr>
        <w:t xml:space="preserve"> Pareto superior to </w:t>
      </w:r>
      <w:r>
        <w:rPr>
          <w:rFonts w:cs="Times New Roman"/>
          <w:i/>
        </w:rPr>
        <w:t>Split</w:t>
      </w:r>
      <w:r>
        <w:rPr>
          <w:rFonts w:cs="Times New Roman"/>
        </w:rPr>
        <w:t>: the prospects are better for both Alice and Belinda, and we know that Alice and Belinda are the only two people who will be affected by the choice. But these two people can be equally well designated as ‘Ms Smith’ and ‘Ms Jones’ (though of course Penelope does not know which is which). We have seen that the prospects for a person depend on how (s)he is designated, so what happens if we calculate the prospects for Ms Smith and Ms Jones under the two possible policies?</w:t>
      </w:r>
    </w:p>
    <w:tbl>
      <w:tblPr>
        <w:tblStyle w:val="TableGrid"/>
        <w:tblW w:w="0" w:type="auto"/>
        <w:tblLook w:val="04A0" w:firstRow="1" w:lastRow="0" w:firstColumn="1" w:lastColumn="0" w:noHBand="0" w:noVBand="1"/>
      </w:tblPr>
      <w:tblGrid>
        <w:gridCol w:w="1693"/>
        <w:gridCol w:w="2802"/>
        <w:gridCol w:w="2700"/>
        <w:gridCol w:w="1821"/>
      </w:tblGrid>
      <w:tr w:rsidR="00690BD0" w:rsidRPr="003E660F" w14:paraId="0DF41C08" w14:textId="77777777" w:rsidTr="00144B3B">
        <w:trPr>
          <w:trHeight w:val="187"/>
        </w:trPr>
        <w:tc>
          <w:tcPr>
            <w:tcW w:w="1693" w:type="dxa"/>
          </w:tcPr>
          <w:p w14:paraId="6E6BAF04" w14:textId="77777777" w:rsidR="00690BD0" w:rsidRPr="003E660F" w:rsidRDefault="00690BD0" w:rsidP="000E0EFB">
            <w:pPr>
              <w:spacing w:line="360" w:lineRule="auto"/>
              <w:jc w:val="both"/>
              <w:rPr>
                <w:rFonts w:cs="Times New Roman"/>
              </w:rPr>
            </w:pPr>
          </w:p>
        </w:tc>
        <w:tc>
          <w:tcPr>
            <w:tcW w:w="2802" w:type="dxa"/>
          </w:tcPr>
          <w:p w14:paraId="34262BAF" w14:textId="48199B6C" w:rsidR="00690BD0" w:rsidRPr="003E660F" w:rsidRDefault="00690BD0" w:rsidP="000E0EFB">
            <w:pPr>
              <w:spacing w:line="360" w:lineRule="auto"/>
              <w:jc w:val="both"/>
              <w:rPr>
                <w:rFonts w:cs="Times New Roman"/>
              </w:rPr>
            </w:pPr>
            <w:r w:rsidRPr="003E660F">
              <w:rPr>
                <w:rFonts w:cs="Times New Roman"/>
              </w:rPr>
              <w:t>State S</w:t>
            </w:r>
            <w:r w:rsidRPr="003E660F">
              <w:rPr>
                <w:rFonts w:cs="Times New Roman"/>
                <w:vertAlign w:val="subscript"/>
              </w:rPr>
              <w:t>1</w:t>
            </w:r>
            <w:r w:rsidRPr="003E660F">
              <w:rPr>
                <w:rFonts w:cs="Times New Roman"/>
              </w:rPr>
              <w:t xml:space="preserve">: </w:t>
            </w:r>
            <w:r>
              <w:rPr>
                <w:rFonts w:cs="Times New Roman"/>
              </w:rPr>
              <w:t>Alice is Ms Smith, and Belinda is Ms Jones</w:t>
            </w:r>
          </w:p>
        </w:tc>
        <w:tc>
          <w:tcPr>
            <w:tcW w:w="2700" w:type="dxa"/>
          </w:tcPr>
          <w:p w14:paraId="37669C89" w14:textId="0047F491" w:rsidR="00690BD0" w:rsidRPr="003E660F" w:rsidRDefault="00690BD0" w:rsidP="000E0EFB">
            <w:pPr>
              <w:spacing w:line="360" w:lineRule="auto"/>
              <w:jc w:val="both"/>
              <w:rPr>
                <w:rFonts w:cs="Times New Roman"/>
              </w:rPr>
            </w:pPr>
            <w:r w:rsidRPr="003E660F">
              <w:rPr>
                <w:rFonts w:cs="Times New Roman"/>
              </w:rPr>
              <w:t>State S</w:t>
            </w:r>
            <w:r w:rsidRPr="003E660F">
              <w:rPr>
                <w:rFonts w:cs="Times New Roman"/>
              </w:rPr>
              <w:softHyphen/>
            </w:r>
            <w:r w:rsidRPr="003E660F">
              <w:rPr>
                <w:rFonts w:cs="Times New Roman"/>
                <w:vertAlign w:val="subscript"/>
              </w:rPr>
              <w:t>2</w:t>
            </w:r>
            <w:r w:rsidRPr="003E660F">
              <w:rPr>
                <w:rFonts w:cs="Times New Roman"/>
              </w:rPr>
              <w:t xml:space="preserve">: </w:t>
            </w:r>
            <w:r>
              <w:rPr>
                <w:rFonts w:cs="Times New Roman"/>
              </w:rPr>
              <w:t>Alice is Ms Jones, and Belinda is Ms Smith</w:t>
            </w:r>
          </w:p>
        </w:tc>
        <w:tc>
          <w:tcPr>
            <w:tcW w:w="1821" w:type="dxa"/>
          </w:tcPr>
          <w:p w14:paraId="769003F1" w14:textId="77777777" w:rsidR="00690BD0" w:rsidRPr="003E660F" w:rsidRDefault="00690BD0" w:rsidP="000E0EFB">
            <w:pPr>
              <w:spacing w:line="360" w:lineRule="auto"/>
              <w:jc w:val="both"/>
              <w:rPr>
                <w:rFonts w:cs="Times New Roman"/>
                <w:i/>
              </w:rPr>
            </w:pPr>
            <w:r w:rsidRPr="003E660F">
              <w:rPr>
                <w:rFonts w:cs="Times New Roman"/>
                <w:i/>
              </w:rPr>
              <w:t>Prospects</w:t>
            </w:r>
          </w:p>
        </w:tc>
      </w:tr>
      <w:tr w:rsidR="00690BD0" w:rsidRPr="003E660F" w14:paraId="2E2B1FED" w14:textId="77777777" w:rsidTr="00144B3B">
        <w:tc>
          <w:tcPr>
            <w:tcW w:w="1693" w:type="dxa"/>
          </w:tcPr>
          <w:p w14:paraId="68E40C89" w14:textId="77777777" w:rsidR="00690BD0" w:rsidRPr="003E660F" w:rsidRDefault="00690BD0" w:rsidP="003633F1">
            <w:pPr>
              <w:spacing w:line="360" w:lineRule="auto"/>
              <w:rPr>
                <w:rFonts w:cs="Times New Roman"/>
                <w:i/>
              </w:rPr>
            </w:pPr>
          </w:p>
        </w:tc>
        <w:tc>
          <w:tcPr>
            <w:tcW w:w="2802" w:type="dxa"/>
          </w:tcPr>
          <w:p w14:paraId="0FC1D55D" w14:textId="77777777" w:rsidR="00690BD0" w:rsidRPr="003E660F" w:rsidRDefault="00690BD0" w:rsidP="000E0EFB">
            <w:pPr>
              <w:spacing w:line="360" w:lineRule="auto"/>
              <w:jc w:val="both"/>
              <w:rPr>
                <w:rFonts w:cs="Times New Roman"/>
              </w:rPr>
            </w:pPr>
            <w:r w:rsidRPr="003E660F">
              <w:rPr>
                <w:rFonts w:cs="Times New Roman"/>
              </w:rPr>
              <w:t>P(S</w:t>
            </w:r>
            <w:r w:rsidRPr="003E660F">
              <w:rPr>
                <w:rFonts w:cs="Times New Roman"/>
                <w:vertAlign w:val="subscript"/>
              </w:rPr>
              <w:t>1</w:t>
            </w:r>
            <w:r w:rsidRPr="003E660F">
              <w:rPr>
                <w:rFonts w:cs="Times New Roman"/>
              </w:rPr>
              <w:t>) = 0.5</w:t>
            </w:r>
          </w:p>
        </w:tc>
        <w:tc>
          <w:tcPr>
            <w:tcW w:w="2700" w:type="dxa"/>
          </w:tcPr>
          <w:p w14:paraId="1A23125A" w14:textId="77777777" w:rsidR="00690BD0" w:rsidRPr="003E660F" w:rsidRDefault="00690BD0" w:rsidP="000E0EFB">
            <w:pPr>
              <w:spacing w:line="360" w:lineRule="auto"/>
              <w:jc w:val="both"/>
              <w:rPr>
                <w:rFonts w:cs="Times New Roman"/>
              </w:rPr>
            </w:pPr>
            <w:r w:rsidRPr="003E660F">
              <w:rPr>
                <w:rFonts w:cs="Times New Roman"/>
              </w:rPr>
              <w:t>P(S</w:t>
            </w:r>
            <w:r w:rsidRPr="003E660F">
              <w:rPr>
                <w:rFonts w:cs="Times New Roman"/>
                <w:vertAlign w:val="subscript"/>
              </w:rPr>
              <w:t>2</w:t>
            </w:r>
            <w:r w:rsidRPr="003E660F">
              <w:rPr>
                <w:rFonts w:cs="Times New Roman"/>
              </w:rPr>
              <w:t>) = 0.5</w:t>
            </w:r>
          </w:p>
        </w:tc>
        <w:tc>
          <w:tcPr>
            <w:tcW w:w="1821" w:type="dxa"/>
          </w:tcPr>
          <w:p w14:paraId="4E83B7B3" w14:textId="77777777" w:rsidR="00690BD0" w:rsidRPr="003E660F" w:rsidRDefault="00690BD0" w:rsidP="000E0EFB">
            <w:pPr>
              <w:spacing w:line="360" w:lineRule="auto"/>
              <w:jc w:val="both"/>
              <w:rPr>
                <w:rFonts w:cs="Times New Roman"/>
              </w:rPr>
            </w:pPr>
          </w:p>
        </w:tc>
      </w:tr>
      <w:tr w:rsidR="00690BD0" w:rsidRPr="003E660F" w14:paraId="0889007A" w14:textId="77777777" w:rsidTr="00144B3B">
        <w:tc>
          <w:tcPr>
            <w:tcW w:w="1693" w:type="dxa"/>
          </w:tcPr>
          <w:p w14:paraId="47748F07" w14:textId="49D8B530" w:rsidR="00690BD0" w:rsidRPr="003E660F" w:rsidRDefault="00690BD0" w:rsidP="003633F1">
            <w:pPr>
              <w:spacing w:line="360" w:lineRule="auto"/>
              <w:rPr>
                <w:rFonts w:cs="Times New Roman"/>
                <w:i/>
              </w:rPr>
            </w:pPr>
            <w:r>
              <w:rPr>
                <w:rFonts w:cs="Times New Roman"/>
                <w:i/>
              </w:rPr>
              <w:lastRenderedPageBreak/>
              <w:t>First come, first served</w:t>
            </w:r>
          </w:p>
        </w:tc>
        <w:tc>
          <w:tcPr>
            <w:tcW w:w="2802" w:type="dxa"/>
          </w:tcPr>
          <w:p w14:paraId="5D9FE7C4" w14:textId="7651B66D" w:rsidR="00690BD0" w:rsidRPr="003E660F" w:rsidRDefault="00690BD0" w:rsidP="000E0EFB">
            <w:pPr>
              <w:spacing w:line="360" w:lineRule="auto"/>
              <w:jc w:val="both"/>
              <w:rPr>
                <w:rFonts w:cs="Times New Roman"/>
              </w:rPr>
            </w:pPr>
            <w:r>
              <w:rPr>
                <w:rFonts w:cs="Times New Roman"/>
              </w:rPr>
              <w:t>Ms Smith: 10</w:t>
            </w:r>
          </w:p>
          <w:p w14:paraId="5A8B3D71" w14:textId="5028B18D" w:rsidR="00690BD0" w:rsidRPr="003E660F" w:rsidRDefault="00690BD0" w:rsidP="000E0EFB">
            <w:pPr>
              <w:spacing w:line="360" w:lineRule="auto"/>
              <w:jc w:val="both"/>
              <w:rPr>
                <w:rFonts w:cs="Times New Roman"/>
              </w:rPr>
            </w:pPr>
            <w:r>
              <w:rPr>
                <w:rFonts w:cs="Times New Roman"/>
              </w:rPr>
              <w:t>Ms Jones: 0</w:t>
            </w:r>
          </w:p>
        </w:tc>
        <w:tc>
          <w:tcPr>
            <w:tcW w:w="2700" w:type="dxa"/>
          </w:tcPr>
          <w:p w14:paraId="39206E23" w14:textId="0B6EBDCE" w:rsidR="00690BD0" w:rsidRDefault="00690BD0" w:rsidP="000E0EFB">
            <w:pPr>
              <w:spacing w:line="360" w:lineRule="auto"/>
              <w:jc w:val="both"/>
              <w:rPr>
                <w:rFonts w:cs="Times New Roman"/>
              </w:rPr>
            </w:pPr>
            <w:r>
              <w:rPr>
                <w:rFonts w:cs="Times New Roman"/>
              </w:rPr>
              <w:t>Ms Smith: 10</w:t>
            </w:r>
          </w:p>
          <w:p w14:paraId="49233172" w14:textId="337B368D" w:rsidR="00690BD0" w:rsidRPr="003E660F" w:rsidRDefault="00690BD0" w:rsidP="000E0EFB">
            <w:pPr>
              <w:spacing w:line="360" w:lineRule="auto"/>
              <w:jc w:val="both"/>
              <w:rPr>
                <w:rFonts w:cs="Times New Roman"/>
              </w:rPr>
            </w:pPr>
            <w:r>
              <w:rPr>
                <w:rFonts w:cs="Times New Roman"/>
              </w:rPr>
              <w:t>Ms Jones: 0</w:t>
            </w:r>
          </w:p>
        </w:tc>
        <w:tc>
          <w:tcPr>
            <w:tcW w:w="1821" w:type="dxa"/>
          </w:tcPr>
          <w:p w14:paraId="129EAB03" w14:textId="2B0BD19A" w:rsidR="00690BD0" w:rsidRDefault="00690BD0" w:rsidP="000E0EFB">
            <w:pPr>
              <w:spacing w:line="360" w:lineRule="auto"/>
              <w:jc w:val="both"/>
              <w:rPr>
                <w:rFonts w:cs="Times New Roman"/>
              </w:rPr>
            </w:pPr>
            <w:r>
              <w:rPr>
                <w:rFonts w:cs="Times New Roman"/>
              </w:rPr>
              <w:t>Ms Smith: 10</w:t>
            </w:r>
          </w:p>
          <w:p w14:paraId="5D4A5AC4" w14:textId="3FEECEB8" w:rsidR="00690BD0" w:rsidRPr="003E660F" w:rsidRDefault="00690BD0" w:rsidP="000E0EFB">
            <w:pPr>
              <w:spacing w:line="360" w:lineRule="auto"/>
              <w:jc w:val="both"/>
              <w:rPr>
                <w:rFonts w:cs="Times New Roman"/>
              </w:rPr>
            </w:pPr>
            <w:r>
              <w:rPr>
                <w:rFonts w:cs="Times New Roman"/>
              </w:rPr>
              <w:t>Ms Jones: 0</w:t>
            </w:r>
          </w:p>
        </w:tc>
      </w:tr>
      <w:tr w:rsidR="00690BD0" w:rsidRPr="003E660F" w14:paraId="16139886" w14:textId="77777777" w:rsidTr="00144B3B">
        <w:tc>
          <w:tcPr>
            <w:tcW w:w="1693" w:type="dxa"/>
          </w:tcPr>
          <w:p w14:paraId="0AE3F1AF" w14:textId="1C5290BD" w:rsidR="00690BD0" w:rsidRPr="003E660F" w:rsidRDefault="00690BD0" w:rsidP="000E0EFB">
            <w:pPr>
              <w:spacing w:line="360" w:lineRule="auto"/>
              <w:jc w:val="both"/>
              <w:rPr>
                <w:rFonts w:cs="Times New Roman"/>
                <w:i/>
              </w:rPr>
            </w:pPr>
            <w:r>
              <w:rPr>
                <w:rFonts w:cs="Times New Roman"/>
                <w:i/>
              </w:rPr>
              <w:t>Split</w:t>
            </w:r>
          </w:p>
        </w:tc>
        <w:tc>
          <w:tcPr>
            <w:tcW w:w="2802" w:type="dxa"/>
          </w:tcPr>
          <w:p w14:paraId="33C71453" w14:textId="2B57468A" w:rsidR="00690BD0" w:rsidRDefault="00690BD0" w:rsidP="000E0EFB">
            <w:pPr>
              <w:spacing w:line="360" w:lineRule="auto"/>
              <w:jc w:val="both"/>
              <w:rPr>
                <w:rFonts w:cs="Times New Roman"/>
              </w:rPr>
            </w:pPr>
            <w:r>
              <w:rPr>
                <w:rFonts w:cs="Times New Roman"/>
              </w:rPr>
              <w:t>Ms Smith: 4</w:t>
            </w:r>
          </w:p>
          <w:p w14:paraId="65CD04CE" w14:textId="20FA1EFE" w:rsidR="00690BD0" w:rsidRPr="003E660F" w:rsidRDefault="00690BD0" w:rsidP="000E0EFB">
            <w:pPr>
              <w:spacing w:line="360" w:lineRule="auto"/>
              <w:jc w:val="both"/>
              <w:rPr>
                <w:rFonts w:cs="Times New Roman"/>
              </w:rPr>
            </w:pPr>
            <w:r>
              <w:rPr>
                <w:rFonts w:cs="Times New Roman"/>
              </w:rPr>
              <w:t>Ms Jones: 4</w:t>
            </w:r>
          </w:p>
        </w:tc>
        <w:tc>
          <w:tcPr>
            <w:tcW w:w="2700" w:type="dxa"/>
          </w:tcPr>
          <w:p w14:paraId="6EA32FFE" w14:textId="773E97F3" w:rsidR="00690BD0" w:rsidRDefault="00690BD0" w:rsidP="000E0EFB">
            <w:pPr>
              <w:spacing w:line="360" w:lineRule="auto"/>
              <w:jc w:val="both"/>
              <w:rPr>
                <w:rFonts w:cs="Times New Roman"/>
              </w:rPr>
            </w:pPr>
            <w:r>
              <w:rPr>
                <w:rFonts w:cs="Times New Roman"/>
              </w:rPr>
              <w:t>Ms Smith: 4</w:t>
            </w:r>
          </w:p>
          <w:p w14:paraId="3F72616E" w14:textId="4EADE59B" w:rsidR="00690BD0" w:rsidRPr="003E660F" w:rsidRDefault="00690BD0" w:rsidP="000E0EFB">
            <w:pPr>
              <w:spacing w:line="360" w:lineRule="auto"/>
              <w:jc w:val="both"/>
              <w:rPr>
                <w:rFonts w:cs="Times New Roman"/>
              </w:rPr>
            </w:pPr>
            <w:r>
              <w:rPr>
                <w:rFonts w:cs="Times New Roman"/>
              </w:rPr>
              <w:t>Ms Jones: 4</w:t>
            </w:r>
          </w:p>
        </w:tc>
        <w:tc>
          <w:tcPr>
            <w:tcW w:w="1821" w:type="dxa"/>
          </w:tcPr>
          <w:p w14:paraId="234D5925" w14:textId="55553943" w:rsidR="00690BD0" w:rsidRDefault="00690BD0" w:rsidP="000E0EFB">
            <w:pPr>
              <w:spacing w:line="360" w:lineRule="auto"/>
              <w:jc w:val="both"/>
              <w:rPr>
                <w:rFonts w:cs="Times New Roman"/>
              </w:rPr>
            </w:pPr>
            <w:r>
              <w:rPr>
                <w:rFonts w:cs="Times New Roman"/>
              </w:rPr>
              <w:t>Ms Smith: 4</w:t>
            </w:r>
          </w:p>
          <w:p w14:paraId="71B70A50" w14:textId="4A04BC3A" w:rsidR="00690BD0" w:rsidRPr="003E660F" w:rsidRDefault="00690BD0" w:rsidP="000E0EFB">
            <w:pPr>
              <w:spacing w:line="360" w:lineRule="auto"/>
              <w:jc w:val="both"/>
              <w:rPr>
                <w:rFonts w:cs="Times New Roman"/>
              </w:rPr>
            </w:pPr>
            <w:r>
              <w:rPr>
                <w:rFonts w:cs="Times New Roman"/>
              </w:rPr>
              <w:t>Ms Jones 4</w:t>
            </w:r>
          </w:p>
        </w:tc>
      </w:tr>
    </w:tbl>
    <w:p w14:paraId="506A1621" w14:textId="0397E032" w:rsidR="00690BD0" w:rsidRPr="00AB3A1B" w:rsidRDefault="00690BD0" w:rsidP="001859AE">
      <w:pPr>
        <w:jc w:val="both"/>
        <w:rPr>
          <w:rFonts w:cs="Times New Roman"/>
          <w:i/>
        </w:rPr>
      </w:pPr>
      <w:r w:rsidRPr="003E660F">
        <w:rPr>
          <w:rFonts w:cs="Times New Roman"/>
        </w:rPr>
        <w:t xml:space="preserve"> </w:t>
      </w:r>
      <w:r>
        <w:rPr>
          <w:rFonts w:cs="Times New Roman"/>
          <w:i/>
        </w:rPr>
        <w:t>Table 2</w:t>
      </w:r>
    </w:p>
    <w:p w14:paraId="0E834373" w14:textId="776D765A" w:rsidR="00690BD0" w:rsidRDefault="00690BD0" w:rsidP="005B7753">
      <w:pPr>
        <w:jc w:val="both"/>
        <w:rPr>
          <w:rFonts w:cs="Times New Roman"/>
        </w:rPr>
      </w:pPr>
      <w:r>
        <w:rPr>
          <w:rFonts w:cs="Times New Roman"/>
        </w:rPr>
        <w:t xml:space="preserve">Now it seems that neither action is Pareto superior: </w:t>
      </w:r>
      <w:r>
        <w:rPr>
          <w:rFonts w:cs="Times New Roman"/>
          <w:i/>
        </w:rPr>
        <w:t>First come, first served</w:t>
      </w:r>
      <w:r>
        <w:rPr>
          <w:rFonts w:cs="Times New Roman"/>
        </w:rPr>
        <w:t xml:space="preserve"> is better for Ms Smith, but </w:t>
      </w:r>
      <w:r>
        <w:rPr>
          <w:rFonts w:cs="Times New Roman"/>
          <w:i/>
        </w:rPr>
        <w:t>Split</w:t>
      </w:r>
      <w:r>
        <w:rPr>
          <w:rFonts w:cs="Times New Roman"/>
        </w:rPr>
        <w:t xml:space="preserve"> is better for Ms Jones. </w:t>
      </w:r>
    </w:p>
    <w:p w14:paraId="277E9FF6" w14:textId="7D18AE56" w:rsidR="005B7753" w:rsidRPr="005B7753" w:rsidRDefault="005B7753" w:rsidP="005B7753">
      <w:pPr>
        <w:jc w:val="both"/>
        <w:rPr>
          <w:rFonts w:cs="Times New Roman"/>
        </w:rPr>
      </w:pPr>
      <w:r>
        <w:t xml:space="preserve">In the example I’ve described, I’ve supposed that the </w:t>
      </w:r>
      <w:r w:rsidRPr="000E0EFB">
        <w:t xml:space="preserve">decision-maker is certain of the outcomes for Ms Smith and Ms Jones under each policy, and so under this set of designators the </w:t>
      </w:r>
      <w:r w:rsidRPr="000E0EFB">
        <w:rPr>
          <w:i/>
        </w:rPr>
        <w:t xml:space="preserve">ex ante </w:t>
      </w:r>
      <w:r w:rsidRPr="000E0EFB">
        <w:t xml:space="preserve">prospects are identical to the </w:t>
      </w:r>
      <w:r w:rsidRPr="000E0EFB">
        <w:rPr>
          <w:i/>
        </w:rPr>
        <w:t xml:space="preserve">ex post </w:t>
      </w:r>
      <w:r w:rsidRPr="000E0EFB">
        <w:t xml:space="preserve">outcomes, whereas </w:t>
      </w:r>
      <w:r w:rsidR="00220A54">
        <w:t xml:space="preserve">the </w:t>
      </w:r>
      <w:r w:rsidR="00220A54">
        <w:rPr>
          <w:i/>
          <w:iCs/>
        </w:rPr>
        <w:t xml:space="preserve">ex </w:t>
      </w:r>
      <w:r w:rsidR="00220A54" w:rsidRPr="00220A54">
        <w:rPr>
          <w:i/>
          <w:iCs/>
        </w:rPr>
        <w:t>ante</w:t>
      </w:r>
      <w:r w:rsidR="00220A54">
        <w:t xml:space="preserve"> prospects for Alice and Belinda are different from the </w:t>
      </w:r>
      <w:r w:rsidR="00220A54">
        <w:rPr>
          <w:i/>
          <w:iCs/>
        </w:rPr>
        <w:t xml:space="preserve">ex post </w:t>
      </w:r>
      <w:r w:rsidR="00220A54">
        <w:t xml:space="preserve">outcomes. </w:t>
      </w:r>
      <w:r>
        <w:t xml:space="preserve">This might suggest that the example merely shows that the </w:t>
      </w:r>
      <w:r>
        <w:rPr>
          <w:i/>
          <w:iCs/>
        </w:rPr>
        <w:t>ex ante</w:t>
      </w:r>
      <w:r>
        <w:t xml:space="preserve"> prospects for the people concerned (as given by the prospects for Alice and Belinda) are different from the </w:t>
      </w:r>
      <w:r>
        <w:rPr>
          <w:i/>
          <w:iCs/>
        </w:rPr>
        <w:t>ex post</w:t>
      </w:r>
      <w:r>
        <w:t xml:space="preserve"> outcomes for the people concerned. But this is just a feature of the simplicity of this case</w:t>
      </w:r>
      <w:r w:rsidRPr="000E0EFB">
        <w:t>: by introducing some uncertainty, we c</w:t>
      </w:r>
      <w:r w:rsidR="000168CE">
        <w:t>an</w:t>
      </w:r>
      <w:r w:rsidRPr="000E0EFB">
        <w:t xml:space="preserve"> </w:t>
      </w:r>
      <w:r>
        <w:t xml:space="preserve">make it clear that we are calculating </w:t>
      </w:r>
      <w:r>
        <w:rPr>
          <w:i/>
          <w:iCs/>
        </w:rPr>
        <w:t xml:space="preserve">ex </w:t>
      </w:r>
      <w:r w:rsidRPr="005B7753">
        <w:rPr>
          <w:i/>
          <w:iCs/>
        </w:rPr>
        <w:t>ante</w:t>
      </w:r>
      <w:r>
        <w:t xml:space="preserve"> prospects (rather than </w:t>
      </w:r>
      <w:r>
        <w:rPr>
          <w:i/>
          <w:iCs/>
        </w:rPr>
        <w:t xml:space="preserve">ex </w:t>
      </w:r>
      <w:r w:rsidRPr="005B7753">
        <w:rPr>
          <w:i/>
          <w:iCs/>
        </w:rPr>
        <w:t>post</w:t>
      </w:r>
      <w:r>
        <w:t xml:space="preserve"> outcomes) </w:t>
      </w:r>
      <w:r w:rsidRPr="000E0EFB">
        <w:t>for Ms Smith and Ms Jones</w:t>
      </w:r>
      <w:r w:rsidR="000168CE">
        <w:t>, as well as for</w:t>
      </w:r>
      <w:r w:rsidRPr="000E0EFB">
        <w:t xml:space="preserve"> Alice and Belinda. We could suppose, for example, that the decision-maker is less than completely certain that the dose of medicine will be curative, in which case the prospects for Ms Smith under </w:t>
      </w:r>
      <w:r w:rsidRPr="000E0EFB">
        <w:rPr>
          <w:i/>
        </w:rPr>
        <w:t>First Come, First Served</w:t>
      </w:r>
      <w:r w:rsidRPr="000E0EFB">
        <w:t xml:space="preserve"> are (let’s suppose) very slightly below 10 (and the prospects for Alice and Belinda under this policy will also need to be slightly reduced similarly): if we adjust the example in this way, we can still get </w:t>
      </w:r>
      <w:r w:rsidRPr="000E0EFB">
        <w:rPr>
          <w:i/>
        </w:rPr>
        <w:t>First come, first served</w:t>
      </w:r>
      <w:r w:rsidRPr="000E0EFB">
        <w:t xml:space="preserve"> to come out as </w:t>
      </w:r>
      <w:r w:rsidRPr="000E0EFB">
        <w:rPr>
          <w:i/>
        </w:rPr>
        <w:t>ex ante</w:t>
      </w:r>
      <w:r w:rsidRPr="000E0EFB">
        <w:t xml:space="preserve"> Pareto superior when we consider the prospects for Alice and Belinda, but not when we consider the prospects for Ms Smith and Ms Jones. </w:t>
      </w:r>
      <w:r>
        <w:t xml:space="preserve">This should make it clear that </w:t>
      </w:r>
      <w:r w:rsidR="000168CE">
        <w:t>the issue here</w:t>
      </w:r>
      <w:r>
        <w:t xml:space="preserve"> is not a mere distinction between </w:t>
      </w:r>
      <w:r>
        <w:rPr>
          <w:i/>
          <w:iCs/>
        </w:rPr>
        <w:t>ex ante</w:t>
      </w:r>
      <w:r>
        <w:t xml:space="preserve"> prospects and </w:t>
      </w:r>
      <w:r>
        <w:rPr>
          <w:i/>
          <w:iCs/>
        </w:rPr>
        <w:lastRenderedPageBreak/>
        <w:t>ex post</w:t>
      </w:r>
      <w:r>
        <w:t xml:space="preserve"> outcomes for an individual, but between different calculations of that individual’s </w:t>
      </w:r>
      <w:r>
        <w:rPr>
          <w:i/>
          <w:iCs/>
        </w:rPr>
        <w:t>ex ante</w:t>
      </w:r>
      <w:r>
        <w:t xml:space="preserve"> prospects</w:t>
      </w:r>
      <w:r w:rsidR="00220A54">
        <w:t xml:space="preserve"> depending on how that individual is designated.</w:t>
      </w:r>
    </w:p>
    <w:p w14:paraId="151C4392" w14:textId="640FB8B3" w:rsidR="00690BD0" w:rsidRPr="003E660F" w:rsidRDefault="00690BD0" w:rsidP="00A47F12">
      <w:pPr>
        <w:jc w:val="both"/>
        <w:rPr>
          <w:rFonts w:cs="Times New Roman"/>
        </w:rPr>
      </w:pPr>
      <w:r w:rsidRPr="003E660F">
        <w:rPr>
          <w:rFonts w:cs="Times New Roman"/>
        </w:rPr>
        <w:t xml:space="preserve">In this scenario, Penelope is certain that there are only </w:t>
      </w:r>
      <w:r>
        <w:rPr>
          <w:rFonts w:cs="Times New Roman"/>
        </w:rPr>
        <w:t>two</w:t>
      </w:r>
      <w:r w:rsidRPr="003E660F">
        <w:rPr>
          <w:rFonts w:cs="Times New Roman"/>
        </w:rPr>
        <w:t xml:space="preserve"> people in the population to be considered. Yet she has two different ways of designating this pair of people. Designated in one way (as ‘</w:t>
      </w:r>
      <w:r>
        <w:rPr>
          <w:rFonts w:cs="Times New Roman"/>
        </w:rPr>
        <w:t>Alice’ and ‘Belinda’</w:t>
      </w:r>
      <w:r w:rsidRPr="003E660F">
        <w:rPr>
          <w:rFonts w:cs="Times New Roman"/>
        </w:rPr>
        <w:t xml:space="preserve">), </w:t>
      </w:r>
      <w:r>
        <w:rPr>
          <w:rFonts w:cs="Times New Roman"/>
          <w:i/>
        </w:rPr>
        <w:t>First come, first served</w:t>
      </w:r>
      <w:r w:rsidRPr="003E660F">
        <w:rPr>
          <w:rFonts w:cs="Times New Roman"/>
        </w:rPr>
        <w:t xml:space="preserve"> appears </w:t>
      </w:r>
      <w:r w:rsidRPr="006C43F7">
        <w:rPr>
          <w:rFonts w:cs="Times New Roman"/>
          <w:i/>
        </w:rPr>
        <w:t>ex ante</w:t>
      </w:r>
      <w:r w:rsidRPr="003E660F">
        <w:rPr>
          <w:rFonts w:cs="Times New Roman"/>
        </w:rPr>
        <w:t xml:space="preserve"> </w:t>
      </w:r>
      <w:r>
        <w:rPr>
          <w:rFonts w:cs="Times New Roman"/>
        </w:rPr>
        <w:t>Pareto</w:t>
      </w:r>
      <w:r w:rsidRPr="003E660F">
        <w:rPr>
          <w:rFonts w:cs="Times New Roman"/>
        </w:rPr>
        <w:t xml:space="preserve"> superior, but designat</w:t>
      </w:r>
      <w:r>
        <w:rPr>
          <w:rFonts w:cs="Times New Roman"/>
        </w:rPr>
        <w:t>ed</w:t>
      </w:r>
      <w:r w:rsidRPr="003E660F">
        <w:rPr>
          <w:rFonts w:cs="Times New Roman"/>
        </w:rPr>
        <w:t xml:space="preserve"> in another way (as ‘</w:t>
      </w:r>
      <w:r>
        <w:rPr>
          <w:rFonts w:cs="Times New Roman"/>
        </w:rPr>
        <w:t>Ms Smith’ and ‘Ms Jones’</w:t>
      </w:r>
      <w:r w:rsidRPr="003E660F">
        <w:rPr>
          <w:rFonts w:cs="Times New Roman"/>
        </w:rPr>
        <w:t xml:space="preserve">), </w:t>
      </w:r>
      <w:r>
        <w:rPr>
          <w:rFonts w:cs="Times New Roman"/>
          <w:i/>
        </w:rPr>
        <w:t>First come, first served</w:t>
      </w:r>
      <w:r w:rsidRPr="003E660F">
        <w:rPr>
          <w:rFonts w:cs="Times New Roman"/>
        </w:rPr>
        <w:t xml:space="preserve"> does not appear </w:t>
      </w:r>
      <w:r w:rsidRPr="006C43F7">
        <w:rPr>
          <w:rFonts w:cs="Times New Roman"/>
          <w:i/>
        </w:rPr>
        <w:t>ex ante</w:t>
      </w:r>
      <w:r w:rsidRPr="003E660F">
        <w:rPr>
          <w:rFonts w:cs="Times New Roman"/>
        </w:rPr>
        <w:t xml:space="preserve"> </w:t>
      </w:r>
      <w:r>
        <w:rPr>
          <w:rFonts w:cs="Times New Roman"/>
        </w:rPr>
        <w:t>Pareto</w:t>
      </w:r>
      <w:r w:rsidRPr="003E660F">
        <w:rPr>
          <w:rFonts w:cs="Times New Roman"/>
        </w:rPr>
        <w:t xml:space="preserve"> superior. Thus in order to determine whether one action is </w:t>
      </w:r>
      <w:r w:rsidRPr="006C43F7">
        <w:rPr>
          <w:rFonts w:cs="Times New Roman"/>
          <w:i/>
        </w:rPr>
        <w:t>ex ante</w:t>
      </w:r>
      <w:r w:rsidRPr="003E660F">
        <w:rPr>
          <w:rFonts w:cs="Times New Roman"/>
        </w:rPr>
        <w:t xml:space="preserve"> </w:t>
      </w:r>
      <w:r>
        <w:rPr>
          <w:rFonts w:cs="Times New Roman"/>
        </w:rPr>
        <w:t>Pareto</w:t>
      </w:r>
      <w:r w:rsidRPr="003E660F">
        <w:rPr>
          <w:rFonts w:cs="Times New Roman"/>
        </w:rPr>
        <w:t xml:space="preserve"> superior to the other, we need to complete the definition of </w:t>
      </w:r>
      <w:r w:rsidRPr="006C43F7">
        <w:rPr>
          <w:rFonts w:cs="Times New Roman"/>
          <w:i/>
        </w:rPr>
        <w:t>ex ante</w:t>
      </w:r>
      <w:r w:rsidRPr="003E660F">
        <w:rPr>
          <w:rFonts w:cs="Times New Roman"/>
        </w:rPr>
        <w:t xml:space="preserve"> </w:t>
      </w:r>
      <w:r>
        <w:rPr>
          <w:rFonts w:cs="Times New Roman"/>
        </w:rPr>
        <w:t>Pareto</w:t>
      </w:r>
      <w:r w:rsidRPr="003E660F">
        <w:rPr>
          <w:rFonts w:cs="Times New Roman"/>
        </w:rPr>
        <w:t xml:space="preserve"> superiority.</w:t>
      </w:r>
      <w:r>
        <w:rPr>
          <w:rFonts w:cs="Times New Roman"/>
        </w:rPr>
        <w:t xml:space="preserve"> </w:t>
      </w:r>
      <w:r w:rsidRPr="003E660F">
        <w:rPr>
          <w:rFonts w:cs="Times New Roman"/>
        </w:rPr>
        <w:t>In this paper, I focus on two ways of completing this definiti</w:t>
      </w:r>
      <w:r>
        <w:rPr>
          <w:rFonts w:cs="Times New Roman"/>
        </w:rPr>
        <w:t xml:space="preserve">on: a supervaluationist reading and a subvaluationist reading. I describe these in the next section. </w:t>
      </w:r>
    </w:p>
    <w:p w14:paraId="0CC56654" w14:textId="77777777" w:rsidR="00690BD0" w:rsidRPr="003E660F" w:rsidRDefault="00690BD0" w:rsidP="001859AE">
      <w:pPr>
        <w:jc w:val="both"/>
        <w:rPr>
          <w:rFonts w:cs="Times New Roman"/>
        </w:rPr>
      </w:pPr>
    </w:p>
    <w:p w14:paraId="69828FC0" w14:textId="4994D601" w:rsidR="00690BD0" w:rsidRPr="003E660F" w:rsidRDefault="00690BD0" w:rsidP="001859AE">
      <w:pPr>
        <w:pStyle w:val="Heading2"/>
        <w:jc w:val="both"/>
      </w:pPr>
      <w:r>
        <w:t>The Two Readings</w:t>
      </w:r>
    </w:p>
    <w:p w14:paraId="3198C0AE" w14:textId="00BDE965" w:rsidR="00690BD0" w:rsidRDefault="00690BD0" w:rsidP="001859AE">
      <w:pPr>
        <w:jc w:val="both"/>
        <w:rPr>
          <w:rFonts w:cs="Times New Roman"/>
        </w:rPr>
      </w:pPr>
      <w:r w:rsidRPr="003E660F">
        <w:rPr>
          <w:rFonts w:cs="Times New Roman"/>
        </w:rPr>
        <w:t xml:space="preserve">Let us start by supposing that we have a fixed population of </w:t>
      </w:r>
      <w:r w:rsidRPr="003D3D1A">
        <w:rPr>
          <w:rFonts w:cs="Times New Roman"/>
          <w:i/>
          <w:iCs/>
        </w:rPr>
        <w:t>n</w:t>
      </w:r>
      <w:r w:rsidRPr="003E660F">
        <w:rPr>
          <w:rFonts w:cs="Times New Roman"/>
        </w:rPr>
        <w:t xml:space="preserve"> people, and that the </w:t>
      </w:r>
      <w:r>
        <w:rPr>
          <w:rFonts w:cs="Times New Roman"/>
        </w:rPr>
        <w:t>decision-maker</w:t>
      </w:r>
      <w:r w:rsidRPr="003E660F">
        <w:rPr>
          <w:rFonts w:cs="Times New Roman"/>
        </w:rPr>
        <w:t xml:space="preserve"> knows this. </w:t>
      </w:r>
      <w:r>
        <w:rPr>
          <w:rFonts w:cs="Times New Roman"/>
        </w:rPr>
        <w:t xml:space="preserve">We consider some set D of designators for these </w:t>
      </w:r>
      <w:r>
        <w:rPr>
          <w:rFonts w:cs="Times New Roman"/>
          <w:i/>
          <w:iCs/>
        </w:rPr>
        <w:t>n</w:t>
      </w:r>
      <w:r>
        <w:rPr>
          <w:rFonts w:cs="Times New Roman"/>
        </w:rPr>
        <w:t xml:space="preserve"> people. Let us say that such a set is ‘admissible’ iff it meets the following two requirements:</w:t>
      </w:r>
    </w:p>
    <w:p w14:paraId="78838B06" w14:textId="2C4CF5CE" w:rsidR="00690BD0" w:rsidRDefault="00690BD0" w:rsidP="001859AE">
      <w:pPr>
        <w:pStyle w:val="ListParagraph"/>
        <w:numPr>
          <w:ilvl w:val="0"/>
          <w:numId w:val="21"/>
        </w:numPr>
        <w:jc w:val="both"/>
        <w:rPr>
          <w:rFonts w:cs="Times New Roman"/>
        </w:rPr>
      </w:pPr>
      <w:r>
        <w:rPr>
          <w:rFonts w:cs="Times New Roman"/>
        </w:rPr>
        <w:t xml:space="preserve">For the population of </w:t>
      </w:r>
      <w:r>
        <w:rPr>
          <w:rFonts w:cs="Times New Roman"/>
          <w:i/>
          <w:iCs/>
        </w:rPr>
        <w:t>n</w:t>
      </w:r>
      <w:r>
        <w:rPr>
          <w:rFonts w:cs="Times New Roman"/>
        </w:rPr>
        <w:t xml:space="preserve"> people, each person has one and only one designator within D. </w:t>
      </w:r>
    </w:p>
    <w:p w14:paraId="557ADAF0" w14:textId="1DA6DC20" w:rsidR="00690BD0" w:rsidRDefault="00690BD0" w:rsidP="001859AE">
      <w:pPr>
        <w:pStyle w:val="ListParagraph"/>
        <w:numPr>
          <w:ilvl w:val="0"/>
          <w:numId w:val="21"/>
        </w:numPr>
        <w:jc w:val="both"/>
        <w:rPr>
          <w:rFonts w:cs="Times New Roman"/>
        </w:rPr>
      </w:pPr>
      <w:r>
        <w:rPr>
          <w:rFonts w:cs="Times New Roman"/>
        </w:rPr>
        <w:t xml:space="preserve">The decision-maker knows that (a) holds. That is, for every designator within D, the decision-maker knows that that designator uniquely designates one member of the population; and the designator knows that the designators in D between them designate every member of the population. </w:t>
      </w:r>
    </w:p>
    <w:p w14:paraId="3ECF8262" w14:textId="01183638" w:rsidR="00690BD0" w:rsidRPr="003E660F" w:rsidRDefault="00690BD0" w:rsidP="001859AE">
      <w:pPr>
        <w:jc w:val="both"/>
        <w:rPr>
          <w:rFonts w:cs="Times New Roman"/>
        </w:rPr>
      </w:pPr>
      <w:r>
        <w:rPr>
          <w:rFonts w:cs="Times New Roman"/>
        </w:rPr>
        <w:t xml:space="preserve">The example in the last section shows that in some cases there may be multiple admissible sets of designators: both the sets {‘Alice’, ‘Belinda’} and {‘Ms Smith’, ‘Ms Jones’} </w:t>
      </w:r>
      <w:r>
        <w:rPr>
          <w:rFonts w:cs="Times New Roman"/>
        </w:rPr>
        <w:lastRenderedPageBreak/>
        <w:t xml:space="preserve">meet requirements (a) and (b). Suppose then that the decision-maker is choosing from some set of possible policies </w:t>
      </w:r>
      <w:r w:rsidRPr="003E660F">
        <w:rPr>
          <w:rFonts w:cs="Times New Roman"/>
        </w:rPr>
        <w:t>P={</w:t>
      </w:r>
      <w:r>
        <w:rPr>
          <w:rFonts w:cs="Times New Roman"/>
          <w:iCs/>
        </w:rPr>
        <w:t>P</w:t>
      </w:r>
      <w:r w:rsidRPr="003E660F">
        <w:rPr>
          <w:rFonts w:cs="Times New Roman"/>
          <w:vertAlign w:val="subscript"/>
        </w:rPr>
        <w:t>1</w:t>
      </w:r>
      <w:r w:rsidRPr="003E660F">
        <w:rPr>
          <w:rFonts w:cs="Times New Roman"/>
        </w:rPr>
        <w:t xml:space="preserve">, </w:t>
      </w:r>
      <w:r>
        <w:rPr>
          <w:rFonts w:cs="Times New Roman"/>
          <w:iCs/>
        </w:rPr>
        <w:t>P</w:t>
      </w:r>
      <w:r w:rsidRPr="003E660F">
        <w:rPr>
          <w:rFonts w:cs="Times New Roman"/>
          <w:vertAlign w:val="subscript"/>
        </w:rPr>
        <w:t>2</w:t>
      </w:r>
      <w:r w:rsidRPr="003E660F">
        <w:rPr>
          <w:rFonts w:cs="Times New Roman"/>
        </w:rPr>
        <w:t xml:space="preserve">…. </w:t>
      </w:r>
      <w:r>
        <w:rPr>
          <w:rFonts w:cs="Times New Roman"/>
          <w:iCs/>
        </w:rPr>
        <w:t>P</w:t>
      </w:r>
      <w:r w:rsidRPr="003E660F">
        <w:rPr>
          <w:rFonts w:cs="Times New Roman"/>
          <w:i/>
          <w:vertAlign w:val="subscript"/>
        </w:rPr>
        <w:t>n</w:t>
      </w:r>
      <w:r w:rsidRPr="003E660F">
        <w:rPr>
          <w:rFonts w:cs="Times New Roman"/>
        </w:rPr>
        <w:t>}</w:t>
      </w:r>
      <w:r>
        <w:rPr>
          <w:rFonts w:cs="Times New Roman"/>
        </w:rPr>
        <w:t xml:space="preserve">, and also that there are </w:t>
      </w:r>
      <w:r w:rsidRPr="003E660F">
        <w:rPr>
          <w:rFonts w:cs="Times New Roman"/>
        </w:rPr>
        <w:t>various possible states of the world, S={</w:t>
      </w:r>
      <w:r>
        <w:rPr>
          <w:rFonts w:cs="Times New Roman"/>
        </w:rPr>
        <w:t>S</w:t>
      </w:r>
      <w:r w:rsidRPr="003E660F">
        <w:rPr>
          <w:rFonts w:cs="Times New Roman"/>
          <w:vertAlign w:val="subscript"/>
        </w:rPr>
        <w:t>1</w:t>
      </w:r>
      <w:r w:rsidRPr="003E660F">
        <w:rPr>
          <w:rFonts w:cs="Times New Roman"/>
        </w:rPr>
        <w:t xml:space="preserve">, </w:t>
      </w:r>
      <w:r>
        <w:rPr>
          <w:rFonts w:cs="Times New Roman"/>
          <w:iCs/>
        </w:rPr>
        <w:t>S</w:t>
      </w:r>
      <w:r w:rsidRPr="003E660F">
        <w:rPr>
          <w:rFonts w:cs="Times New Roman"/>
          <w:vertAlign w:val="subscript"/>
        </w:rPr>
        <w:t>2</w:t>
      </w:r>
      <w:r w:rsidRPr="003E660F">
        <w:rPr>
          <w:rFonts w:cs="Times New Roman"/>
        </w:rPr>
        <w:t xml:space="preserve">, … </w:t>
      </w:r>
      <w:r>
        <w:rPr>
          <w:rFonts w:cs="Times New Roman"/>
          <w:iCs/>
        </w:rPr>
        <w:t>S</w:t>
      </w:r>
      <w:r w:rsidRPr="003E660F">
        <w:rPr>
          <w:rFonts w:cs="Times New Roman"/>
          <w:i/>
          <w:vertAlign w:val="subscript"/>
        </w:rPr>
        <w:t>z</w:t>
      </w:r>
      <w:r w:rsidRPr="003E660F">
        <w:rPr>
          <w:rFonts w:cs="Times New Roman"/>
        </w:rPr>
        <w:t>}. For any given designator, policy, and state of the world, there will be some welfare outcome: the outcome that the person (so designated)</w:t>
      </w:r>
      <w:r>
        <w:rPr>
          <w:rFonts w:cs="Times New Roman"/>
        </w:rPr>
        <w:t xml:space="preserve"> would certainly have at</w:t>
      </w:r>
      <w:r w:rsidRPr="003E660F">
        <w:rPr>
          <w:rFonts w:cs="Times New Roman"/>
        </w:rPr>
        <w:t xml:space="preserve"> that state under that policy. The decision-maker has some </w:t>
      </w:r>
      <w:r>
        <w:rPr>
          <w:rFonts w:cs="Times New Roman"/>
        </w:rPr>
        <w:t>credence</w:t>
      </w:r>
      <w:r w:rsidRPr="003E660F">
        <w:rPr>
          <w:rFonts w:cs="Times New Roman"/>
        </w:rPr>
        <w:t xml:space="preserve"> in each state of the world. Thus for each designator and policy, there will be </w:t>
      </w:r>
      <w:r>
        <w:rPr>
          <w:rFonts w:cs="Times New Roman"/>
        </w:rPr>
        <w:t xml:space="preserve">some </w:t>
      </w:r>
      <w:r w:rsidRPr="003E660F">
        <w:rPr>
          <w:rFonts w:cs="Times New Roman"/>
          <w:i/>
        </w:rPr>
        <w:t>expected</w:t>
      </w:r>
      <w:r w:rsidRPr="003E660F">
        <w:rPr>
          <w:rFonts w:cs="Times New Roman"/>
        </w:rPr>
        <w:t xml:space="preserve"> welfare, which is the sum of the outcomes for that designator under that policy in each state, weighted by </w:t>
      </w:r>
      <w:r w:rsidR="00D03F5F">
        <w:rPr>
          <w:rFonts w:cs="Times New Roman"/>
        </w:rPr>
        <w:t>credence</w:t>
      </w:r>
      <w:r w:rsidRPr="003E660F">
        <w:rPr>
          <w:rFonts w:cs="Times New Roman"/>
        </w:rPr>
        <w:t>.</w:t>
      </w:r>
      <w:r w:rsidR="000168CE">
        <w:rPr>
          <w:rStyle w:val="FootnoteReference"/>
          <w:rFonts w:cs="Times New Roman"/>
        </w:rPr>
        <w:footnoteReference w:id="3"/>
      </w:r>
      <w:r w:rsidR="000168CE" w:rsidRPr="003E660F">
        <w:rPr>
          <w:rFonts w:cs="Times New Roman"/>
        </w:rPr>
        <w:t xml:space="preserve"> </w:t>
      </w:r>
      <w:r w:rsidRPr="003E660F">
        <w:rPr>
          <w:rFonts w:cs="Times New Roman"/>
        </w:rPr>
        <w:t>This gives us the prospects for that designator under that policy</w:t>
      </w:r>
      <w:r>
        <w:rPr>
          <w:rFonts w:cs="Times New Roman"/>
        </w:rPr>
        <w:t>. It may be that for some policies P</w:t>
      </w:r>
      <w:r>
        <w:rPr>
          <w:rFonts w:cs="Times New Roman"/>
          <w:i/>
          <w:iCs/>
          <w:vertAlign w:val="subscript"/>
        </w:rPr>
        <w:t>x</w:t>
      </w:r>
      <w:r>
        <w:rPr>
          <w:rFonts w:cs="Times New Roman"/>
        </w:rPr>
        <w:t xml:space="preserve"> and P</w:t>
      </w:r>
      <w:r>
        <w:rPr>
          <w:rFonts w:cs="Times New Roman"/>
          <w:i/>
          <w:iCs/>
          <w:vertAlign w:val="subscript"/>
        </w:rPr>
        <w:t>y</w:t>
      </w:r>
      <w:r>
        <w:rPr>
          <w:rFonts w:cs="Times New Roman"/>
        </w:rPr>
        <w:t>, and some admissible set of designators D={</w:t>
      </w:r>
      <w:r w:rsidRPr="00F96A80">
        <w:rPr>
          <w:rFonts w:cs="Times New Roman"/>
        </w:rPr>
        <w:t>D</w:t>
      </w:r>
      <w:r>
        <w:rPr>
          <w:rFonts w:cs="Times New Roman"/>
          <w:vertAlign w:val="subscript"/>
        </w:rPr>
        <w:t>1</w:t>
      </w:r>
      <w:r>
        <w:rPr>
          <w:rFonts w:cs="Times New Roman"/>
        </w:rPr>
        <w:t>, D</w:t>
      </w:r>
      <w:r>
        <w:rPr>
          <w:rFonts w:cs="Times New Roman"/>
          <w:vertAlign w:val="subscript"/>
        </w:rPr>
        <w:t>2</w:t>
      </w:r>
      <w:r>
        <w:rPr>
          <w:rFonts w:cs="Times New Roman"/>
        </w:rPr>
        <w:t>, …, D</w:t>
      </w:r>
      <w:r>
        <w:rPr>
          <w:rFonts w:cs="Times New Roman"/>
          <w:i/>
          <w:vertAlign w:val="subscript"/>
        </w:rPr>
        <w:t>n</w:t>
      </w:r>
      <w:r>
        <w:rPr>
          <w:rFonts w:cs="Times New Roman"/>
        </w:rPr>
        <w:t>}</w:t>
      </w:r>
      <w:r w:rsidRPr="00F96A80">
        <w:rPr>
          <w:rFonts w:cs="Times New Roman"/>
        </w:rPr>
        <w:t>,</w:t>
      </w:r>
      <w:r>
        <w:rPr>
          <w:rFonts w:cs="Times New Roman"/>
        </w:rPr>
        <w:t xml:space="preserve"> prospects are at least as good under P</w:t>
      </w:r>
      <w:r>
        <w:rPr>
          <w:rFonts w:cs="Times New Roman"/>
          <w:i/>
          <w:iCs/>
          <w:vertAlign w:val="subscript"/>
        </w:rPr>
        <w:t>x</w:t>
      </w:r>
      <w:r>
        <w:rPr>
          <w:rFonts w:cs="Times New Roman"/>
        </w:rPr>
        <w:t xml:space="preserve"> as under </w:t>
      </w:r>
      <w:r w:rsidRPr="00785729">
        <w:rPr>
          <w:rFonts w:cs="Times New Roman"/>
        </w:rPr>
        <w:t>P</w:t>
      </w:r>
      <w:r w:rsidRPr="00785729">
        <w:rPr>
          <w:rFonts w:cs="Times New Roman"/>
          <w:i/>
          <w:iCs/>
          <w:vertAlign w:val="subscript"/>
        </w:rPr>
        <w:t>y</w:t>
      </w:r>
      <w:r>
        <w:rPr>
          <w:rFonts w:cs="Times New Roman"/>
        </w:rPr>
        <w:t xml:space="preserve"> for every designator in set D, and the prospects are better under P</w:t>
      </w:r>
      <w:r>
        <w:rPr>
          <w:rFonts w:cs="Times New Roman"/>
          <w:i/>
          <w:iCs/>
          <w:vertAlign w:val="subscript"/>
        </w:rPr>
        <w:t>x</w:t>
      </w:r>
      <w:r>
        <w:rPr>
          <w:rFonts w:cs="Times New Roman"/>
        </w:rPr>
        <w:t xml:space="preserve"> than under </w:t>
      </w:r>
      <w:r w:rsidRPr="00785729">
        <w:rPr>
          <w:rFonts w:cs="Times New Roman"/>
        </w:rPr>
        <w:t>P</w:t>
      </w:r>
      <w:r w:rsidRPr="00785729">
        <w:rPr>
          <w:rFonts w:cs="Times New Roman"/>
          <w:i/>
          <w:iCs/>
          <w:vertAlign w:val="subscript"/>
        </w:rPr>
        <w:t>y</w:t>
      </w:r>
      <w:r>
        <w:rPr>
          <w:rFonts w:cs="Times New Roman"/>
        </w:rPr>
        <w:t xml:space="preserve"> for some designator in set D: in this case, we can say that P</w:t>
      </w:r>
      <w:r>
        <w:rPr>
          <w:rFonts w:cs="Times New Roman"/>
          <w:i/>
          <w:iCs/>
          <w:vertAlign w:val="subscript"/>
        </w:rPr>
        <w:t>x</w:t>
      </w:r>
      <w:r>
        <w:rPr>
          <w:rFonts w:cs="Times New Roman"/>
        </w:rPr>
        <w:t xml:space="preserve"> is </w:t>
      </w:r>
      <w:r>
        <w:rPr>
          <w:rFonts w:cs="Times New Roman"/>
          <w:i/>
          <w:iCs/>
        </w:rPr>
        <w:t>ex ante</w:t>
      </w:r>
      <w:r>
        <w:rPr>
          <w:rFonts w:cs="Times New Roman"/>
        </w:rPr>
        <w:t xml:space="preserve"> Pareto superior to P</w:t>
      </w:r>
      <w:r>
        <w:rPr>
          <w:rFonts w:cs="Times New Roman"/>
          <w:i/>
          <w:iCs/>
          <w:vertAlign w:val="subscript"/>
        </w:rPr>
        <w:t>y</w:t>
      </w:r>
      <w:r>
        <w:rPr>
          <w:rFonts w:cs="Times New Roman"/>
        </w:rPr>
        <w:t xml:space="preserve"> </w:t>
      </w:r>
      <w:r>
        <w:rPr>
          <w:rFonts w:cs="Times New Roman"/>
          <w:i/>
          <w:iCs/>
        </w:rPr>
        <w:t xml:space="preserve">relative to the set of designators D. </w:t>
      </w:r>
    </w:p>
    <w:p w14:paraId="36DE36A5" w14:textId="1E3962BB" w:rsidR="00690BD0" w:rsidRDefault="00690BD0" w:rsidP="001859AE">
      <w:pPr>
        <w:jc w:val="both"/>
        <w:rPr>
          <w:rFonts w:cs="Times New Roman"/>
        </w:rPr>
      </w:pPr>
      <w:r w:rsidRPr="003E660F">
        <w:rPr>
          <w:rFonts w:cs="Times New Roman"/>
        </w:rPr>
        <w:t xml:space="preserve">But given the very same population of </w:t>
      </w:r>
      <w:r w:rsidRPr="003E660F">
        <w:rPr>
          <w:rFonts w:cs="Times New Roman"/>
          <w:i/>
        </w:rPr>
        <w:t>n</w:t>
      </w:r>
      <w:r w:rsidRPr="003E660F">
        <w:rPr>
          <w:rFonts w:cs="Times New Roman"/>
        </w:rPr>
        <w:t xml:space="preserve"> people, there may be alternative </w:t>
      </w:r>
      <w:r>
        <w:rPr>
          <w:rFonts w:cs="Times New Roman"/>
        </w:rPr>
        <w:t xml:space="preserve">admissible </w:t>
      </w:r>
      <w:r w:rsidRPr="003E660F">
        <w:rPr>
          <w:rFonts w:cs="Times New Roman"/>
        </w:rPr>
        <w:t>sets of designators. Let us suppose that D</w:t>
      </w:r>
      <w:r>
        <w:rPr>
          <w:rFonts w:cs="Times New Roman"/>
        </w:rPr>
        <w:t>*</w:t>
      </w:r>
      <w:r w:rsidRPr="003E660F">
        <w:rPr>
          <w:rFonts w:cs="Times New Roman"/>
        </w:rPr>
        <w:t>={</w:t>
      </w:r>
      <w:r>
        <w:rPr>
          <w:rFonts w:cs="Times New Roman"/>
        </w:rPr>
        <w:t>D*</w:t>
      </w:r>
      <w:r w:rsidRPr="003E660F">
        <w:rPr>
          <w:rFonts w:cs="Times New Roman"/>
          <w:vertAlign w:val="subscript"/>
        </w:rPr>
        <w:t>1</w:t>
      </w:r>
      <w:r w:rsidRPr="003E660F">
        <w:rPr>
          <w:rFonts w:cs="Times New Roman"/>
        </w:rPr>
        <w:t xml:space="preserve">, </w:t>
      </w:r>
      <w:r>
        <w:rPr>
          <w:rFonts w:cs="Times New Roman"/>
        </w:rPr>
        <w:t>D*</w:t>
      </w:r>
      <w:r w:rsidRPr="003E660F">
        <w:rPr>
          <w:rFonts w:cs="Times New Roman"/>
          <w:vertAlign w:val="subscript"/>
        </w:rPr>
        <w:t>2</w:t>
      </w:r>
      <w:r w:rsidRPr="003E660F">
        <w:rPr>
          <w:rFonts w:cs="Times New Roman"/>
        </w:rPr>
        <w:t xml:space="preserve">, </w:t>
      </w:r>
      <w:r>
        <w:rPr>
          <w:rFonts w:cs="Times New Roman"/>
        </w:rPr>
        <w:t>D*</w:t>
      </w:r>
      <w:r w:rsidRPr="003E660F">
        <w:rPr>
          <w:rFonts w:cs="Times New Roman"/>
          <w:vertAlign w:val="subscript"/>
        </w:rPr>
        <w:t>3</w:t>
      </w:r>
      <w:r w:rsidRPr="003E660F">
        <w:rPr>
          <w:rFonts w:cs="Times New Roman"/>
        </w:rPr>
        <w:t xml:space="preserve">, … , </w:t>
      </w:r>
      <w:r>
        <w:rPr>
          <w:rFonts w:cs="Times New Roman"/>
        </w:rPr>
        <w:t>D*</w:t>
      </w:r>
      <w:r w:rsidRPr="003E660F">
        <w:rPr>
          <w:rFonts w:cs="Times New Roman"/>
          <w:i/>
          <w:vertAlign w:val="subscript"/>
        </w:rPr>
        <w:t>n</w:t>
      </w:r>
      <w:r w:rsidRPr="003E660F">
        <w:rPr>
          <w:rFonts w:cs="Times New Roman"/>
        </w:rPr>
        <w:t>} is just such another set of designators</w:t>
      </w:r>
      <w:r>
        <w:rPr>
          <w:rFonts w:cs="Times New Roman"/>
        </w:rPr>
        <w:t xml:space="preserve">, meeting the requirements (a) and (b) above. </w:t>
      </w:r>
      <w:r w:rsidRPr="003E660F">
        <w:rPr>
          <w:rFonts w:cs="Times New Roman"/>
        </w:rPr>
        <w:t>Just to emphasise - there is no variation in the population here: the idea is rather that there can be two different ways of designating the members of the very same population. We can then also consider whether P</w:t>
      </w:r>
      <w:r w:rsidRPr="003E660F">
        <w:rPr>
          <w:rFonts w:cs="Times New Roman"/>
          <w:i/>
          <w:vertAlign w:val="subscript"/>
        </w:rPr>
        <w:t>x</w:t>
      </w:r>
      <w:r w:rsidRPr="003E660F">
        <w:rPr>
          <w:rFonts w:cs="Times New Roman"/>
        </w:rPr>
        <w:t xml:space="preserve"> is </w:t>
      </w:r>
      <w:r>
        <w:rPr>
          <w:rFonts w:cs="Times New Roman"/>
          <w:i/>
        </w:rPr>
        <w:t>ex ante</w:t>
      </w:r>
      <w:r w:rsidRPr="003E660F">
        <w:rPr>
          <w:rFonts w:cs="Times New Roman"/>
        </w:rPr>
        <w:t xml:space="preserve"> </w:t>
      </w:r>
      <w:r>
        <w:rPr>
          <w:rFonts w:cs="Times New Roman"/>
        </w:rPr>
        <w:t>Pareto</w:t>
      </w:r>
      <w:r w:rsidRPr="003E660F">
        <w:rPr>
          <w:rFonts w:cs="Times New Roman"/>
        </w:rPr>
        <w:t xml:space="preserve"> superior to P</w:t>
      </w:r>
      <w:r w:rsidRPr="003E660F">
        <w:rPr>
          <w:rFonts w:cs="Times New Roman"/>
          <w:i/>
          <w:vertAlign w:val="subscript"/>
        </w:rPr>
        <w:t>y</w:t>
      </w:r>
      <w:r w:rsidRPr="003E660F">
        <w:rPr>
          <w:rFonts w:cs="Times New Roman"/>
        </w:rPr>
        <w:t xml:space="preserve"> relative to the set of designators D</w:t>
      </w:r>
      <w:r>
        <w:rPr>
          <w:rFonts w:cs="Times New Roman"/>
        </w:rPr>
        <w:t>*</w:t>
      </w:r>
      <w:r w:rsidRPr="003E660F">
        <w:rPr>
          <w:rFonts w:cs="Times New Roman"/>
        </w:rPr>
        <w:t xml:space="preserve">. Quite generally, </w:t>
      </w:r>
      <w:r>
        <w:rPr>
          <w:rFonts w:cs="Times New Roman"/>
        </w:rPr>
        <w:t>we can consider whether P</w:t>
      </w:r>
      <w:r w:rsidRPr="00CF77B6">
        <w:rPr>
          <w:rFonts w:cs="Times New Roman"/>
          <w:vertAlign w:val="subscript"/>
        </w:rPr>
        <w:t>x</w:t>
      </w:r>
      <w:r>
        <w:rPr>
          <w:rFonts w:cs="Times New Roman"/>
        </w:rPr>
        <w:t xml:space="preserve"> </w:t>
      </w:r>
      <w:r w:rsidRPr="003E660F">
        <w:rPr>
          <w:rFonts w:cs="Times New Roman"/>
        </w:rPr>
        <w:t xml:space="preserve">is </w:t>
      </w:r>
      <w:r>
        <w:rPr>
          <w:rFonts w:cs="Times New Roman"/>
          <w:i/>
        </w:rPr>
        <w:t>ex ante</w:t>
      </w:r>
      <w:r w:rsidRPr="003E660F">
        <w:rPr>
          <w:rFonts w:cs="Times New Roman"/>
        </w:rPr>
        <w:t xml:space="preserve"> </w:t>
      </w:r>
      <w:r>
        <w:rPr>
          <w:rFonts w:cs="Times New Roman"/>
        </w:rPr>
        <w:t>Pareto</w:t>
      </w:r>
      <w:r w:rsidRPr="003E660F">
        <w:rPr>
          <w:rFonts w:cs="Times New Roman"/>
        </w:rPr>
        <w:t xml:space="preserve"> superior to P</w:t>
      </w:r>
      <w:r w:rsidRPr="003E660F">
        <w:rPr>
          <w:rFonts w:cs="Times New Roman"/>
          <w:i/>
          <w:vertAlign w:val="subscript"/>
        </w:rPr>
        <w:t>y</w:t>
      </w:r>
      <w:r w:rsidRPr="003E660F">
        <w:rPr>
          <w:rFonts w:cs="Times New Roman"/>
        </w:rPr>
        <w:t xml:space="preserve"> relative to </w:t>
      </w:r>
      <w:r>
        <w:rPr>
          <w:rFonts w:cs="Times New Roman"/>
        </w:rPr>
        <w:t xml:space="preserve">each admissible set of designators. </w:t>
      </w:r>
    </w:p>
    <w:p w14:paraId="5F062995" w14:textId="77777777" w:rsidR="001F1A06" w:rsidRDefault="00690BD0" w:rsidP="001859AE">
      <w:pPr>
        <w:jc w:val="both"/>
        <w:rPr>
          <w:rFonts w:cs="Times New Roman"/>
        </w:rPr>
      </w:pPr>
      <w:r w:rsidRPr="003E660F">
        <w:rPr>
          <w:rFonts w:cs="Times New Roman"/>
        </w:rPr>
        <w:lastRenderedPageBreak/>
        <w:t xml:space="preserve">I have stated what it is for some policy to be </w:t>
      </w:r>
      <w:r>
        <w:rPr>
          <w:rFonts w:cs="Times New Roman"/>
          <w:i/>
        </w:rPr>
        <w:t>ex ante</w:t>
      </w:r>
      <w:r w:rsidRPr="003E660F">
        <w:rPr>
          <w:rFonts w:cs="Times New Roman"/>
        </w:rPr>
        <w:t xml:space="preserve"> </w:t>
      </w:r>
      <w:r>
        <w:rPr>
          <w:rFonts w:cs="Times New Roman"/>
        </w:rPr>
        <w:t>Pareto</w:t>
      </w:r>
      <w:r w:rsidRPr="003E660F">
        <w:rPr>
          <w:rFonts w:cs="Times New Roman"/>
        </w:rPr>
        <w:t xml:space="preserve"> superior to another policy relative to some </w:t>
      </w:r>
      <w:r>
        <w:rPr>
          <w:rFonts w:cs="Times New Roman"/>
        </w:rPr>
        <w:t>admissible set of designators</w:t>
      </w:r>
      <w:r w:rsidRPr="003E660F">
        <w:rPr>
          <w:rFonts w:cs="Times New Roman"/>
        </w:rPr>
        <w:t xml:space="preserve">. But what is it for some policy to be </w:t>
      </w:r>
      <w:r>
        <w:rPr>
          <w:rFonts w:cs="Times New Roman"/>
          <w:i/>
        </w:rPr>
        <w:t>ex ante</w:t>
      </w:r>
      <w:r w:rsidRPr="003E660F">
        <w:rPr>
          <w:rFonts w:cs="Times New Roman"/>
        </w:rPr>
        <w:t xml:space="preserve"> </w:t>
      </w:r>
      <w:r>
        <w:rPr>
          <w:rFonts w:cs="Times New Roman"/>
        </w:rPr>
        <w:t>Pareto</w:t>
      </w:r>
      <w:r w:rsidRPr="003E660F">
        <w:rPr>
          <w:rFonts w:cs="Times New Roman"/>
        </w:rPr>
        <w:t xml:space="preserve"> superior </w:t>
      </w:r>
      <w:r>
        <w:rPr>
          <w:rFonts w:cs="Times New Roman"/>
        </w:rPr>
        <w:t xml:space="preserve">(given our fixed population) </w:t>
      </w:r>
      <w:r w:rsidRPr="00785729">
        <w:rPr>
          <w:rFonts w:cs="Times New Roman"/>
          <w:i/>
          <w:iCs/>
        </w:rPr>
        <w:t>simpliciter</w:t>
      </w:r>
      <w:r w:rsidRPr="003E660F">
        <w:rPr>
          <w:rFonts w:cs="Times New Roman"/>
        </w:rPr>
        <w:t xml:space="preserve"> – i.e. not relative to some particular set of designators? There are two natural ways we might answer this question. Firstly, we might say that some policy P</w:t>
      </w:r>
      <w:r>
        <w:rPr>
          <w:rFonts w:cs="Times New Roman"/>
          <w:i/>
          <w:vertAlign w:val="subscript"/>
        </w:rPr>
        <w:t>x</w:t>
      </w:r>
      <w:r w:rsidRPr="003E660F">
        <w:rPr>
          <w:rFonts w:cs="Times New Roman"/>
        </w:rPr>
        <w:t xml:space="preserve"> is </w:t>
      </w:r>
      <w:r>
        <w:rPr>
          <w:rFonts w:cs="Times New Roman"/>
          <w:i/>
        </w:rPr>
        <w:t>ex ante</w:t>
      </w:r>
      <w:r w:rsidRPr="003E660F">
        <w:rPr>
          <w:rFonts w:cs="Times New Roman"/>
        </w:rPr>
        <w:t xml:space="preserve"> </w:t>
      </w:r>
      <w:r>
        <w:rPr>
          <w:rFonts w:cs="Times New Roman"/>
        </w:rPr>
        <w:t>Pareto</w:t>
      </w:r>
      <w:r w:rsidRPr="003E660F">
        <w:rPr>
          <w:rFonts w:cs="Times New Roman"/>
        </w:rPr>
        <w:t xml:space="preserve"> superior simplicter to some policy P</w:t>
      </w:r>
      <w:r>
        <w:rPr>
          <w:rFonts w:cs="Times New Roman"/>
          <w:i/>
          <w:vertAlign w:val="subscript"/>
        </w:rPr>
        <w:t>y</w:t>
      </w:r>
      <w:r w:rsidRPr="003E660F">
        <w:rPr>
          <w:rFonts w:cs="Times New Roman"/>
        </w:rPr>
        <w:t xml:space="preserve"> iff there is </w:t>
      </w:r>
      <w:r w:rsidRPr="003E660F">
        <w:rPr>
          <w:rFonts w:cs="Times New Roman"/>
          <w:i/>
        </w:rPr>
        <w:t>some</w:t>
      </w:r>
      <w:r w:rsidRPr="003E660F">
        <w:rPr>
          <w:rFonts w:cs="Times New Roman"/>
        </w:rPr>
        <w:t xml:space="preserve"> </w:t>
      </w:r>
      <w:r>
        <w:rPr>
          <w:rFonts w:cs="Times New Roman"/>
        </w:rPr>
        <w:t xml:space="preserve">admissible </w:t>
      </w:r>
      <w:r w:rsidRPr="003E660F">
        <w:rPr>
          <w:rFonts w:cs="Times New Roman"/>
        </w:rPr>
        <w:t>set of designators D such that P</w:t>
      </w:r>
      <w:r w:rsidRPr="00CF77B6">
        <w:rPr>
          <w:rFonts w:cs="Times New Roman"/>
          <w:i/>
          <w:iCs/>
          <w:vertAlign w:val="subscript"/>
        </w:rPr>
        <w:t>x</w:t>
      </w:r>
      <w:r w:rsidRPr="003E660F">
        <w:rPr>
          <w:rFonts w:cs="Times New Roman"/>
        </w:rPr>
        <w:softHyphen/>
        <w:t xml:space="preserve"> is </w:t>
      </w:r>
      <w:r>
        <w:rPr>
          <w:rFonts w:cs="Times New Roman"/>
          <w:i/>
        </w:rPr>
        <w:t>ex ante</w:t>
      </w:r>
      <w:r w:rsidRPr="003E660F">
        <w:rPr>
          <w:rFonts w:cs="Times New Roman"/>
        </w:rPr>
        <w:t xml:space="preserve"> </w:t>
      </w:r>
      <w:r>
        <w:rPr>
          <w:rFonts w:cs="Times New Roman"/>
        </w:rPr>
        <w:t>Pareto</w:t>
      </w:r>
      <w:r w:rsidRPr="003E660F">
        <w:rPr>
          <w:rFonts w:cs="Times New Roman"/>
        </w:rPr>
        <w:t xml:space="preserve"> superior to P</w:t>
      </w:r>
      <w:r>
        <w:rPr>
          <w:rFonts w:cs="Times New Roman"/>
          <w:i/>
          <w:vertAlign w:val="subscript"/>
        </w:rPr>
        <w:t>y</w:t>
      </w:r>
      <w:r w:rsidRPr="003E660F">
        <w:rPr>
          <w:rFonts w:cs="Times New Roman"/>
        </w:rPr>
        <w:t xml:space="preserve"> relative to D. This is </w:t>
      </w:r>
      <w:r>
        <w:rPr>
          <w:rFonts w:cs="Times New Roman"/>
        </w:rPr>
        <w:t>what I am calling a subvaluationist reading</w:t>
      </w:r>
      <w:r w:rsidRPr="003E660F">
        <w:rPr>
          <w:rFonts w:cs="Times New Roman"/>
        </w:rPr>
        <w:t>. Secondly, we might say that some policy P</w:t>
      </w:r>
      <w:r>
        <w:rPr>
          <w:rFonts w:cs="Times New Roman"/>
          <w:i/>
          <w:vertAlign w:val="subscript"/>
        </w:rPr>
        <w:t>x</w:t>
      </w:r>
      <w:r w:rsidRPr="003E660F">
        <w:rPr>
          <w:rFonts w:cs="Times New Roman"/>
        </w:rPr>
        <w:t xml:space="preserve"> is </w:t>
      </w:r>
      <w:r>
        <w:rPr>
          <w:rFonts w:cs="Times New Roman"/>
          <w:i/>
        </w:rPr>
        <w:t>ex ante</w:t>
      </w:r>
      <w:r w:rsidRPr="003E660F">
        <w:rPr>
          <w:rFonts w:cs="Times New Roman"/>
        </w:rPr>
        <w:t xml:space="preserve"> </w:t>
      </w:r>
      <w:r>
        <w:rPr>
          <w:rFonts w:cs="Times New Roman"/>
        </w:rPr>
        <w:t>Pareto</w:t>
      </w:r>
      <w:r w:rsidRPr="003E660F">
        <w:rPr>
          <w:rFonts w:cs="Times New Roman"/>
        </w:rPr>
        <w:t xml:space="preserve"> superior simplicter to some policy P</w:t>
      </w:r>
      <w:r>
        <w:rPr>
          <w:rFonts w:cs="Times New Roman"/>
          <w:i/>
          <w:vertAlign w:val="subscript"/>
        </w:rPr>
        <w:t>y</w:t>
      </w:r>
      <w:r w:rsidRPr="003E660F">
        <w:rPr>
          <w:rFonts w:cs="Times New Roman"/>
        </w:rPr>
        <w:t xml:space="preserve"> iff for </w:t>
      </w:r>
      <w:r w:rsidRPr="003E660F">
        <w:rPr>
          <w:rFonts w:cs="Times New Roman"/>
          <w:i/>
        </w:rPr>
        <w:t>every</w:t>
      </w:r>
      <w:r w:rsidRPr="003E660F">
        <w:rPr>
          <w:rFonts w:cs="Times New Roman"/>
        </w:rPr>
        <w:t xml:space="preserve"> </w:t>
      </w:r>
      <w:r>
        <w:rPr>
          <w:rFonts w:cs="Times New Roman"/>
        </w:rPr>
        <w:t xml:space="preserve">admissible </w:t>
      </w:r>
      <w:r w:rsidRPr="003E660F">
        <w:rPr>
          <w:rFonts w:cs="Times New Roman"/>
        </w:rPr>
        <w:t>set of designators D, P</w:t>
      </w:r>
      <w:r>
        <w:rPr>
          <w:rFonts w:cs="Times New Roman"/>
          <w:i/>
          <w:vertAlign w:val="subscript"/>
        </w:rPr>
        <w:t>x</w:t>
      </w:r>
      <w:r w:rsidRPr="003E660F">
        <w:rPr>
          <w:rFonts w:cs="Times New Roman"/>
        </w:rPr>
        <w:softHyphen/>
        <w:t xml:space="preserve"> is </w:t>
      </w:r>
      <w:r>
        <w:rPr>
          <w:rFonts w:cs="Times New Roman"/>
          <w:i/>
        </w:rPr>
        <w:t>ex ante</w:t>
      </w:r>
      <w:r w:rsidRPr="003E660F">
        <w:rPr>
          <w:rFonts w:cs="Times New Roman"/>
        </w:rPr>
        <w:t xml:space="preserve"> </w:t>
      </w:r>
      <w:r>
        <w:rPr>
          <w:rFonts w:cs="Times New Roman"/>
        </w:rPr>
        <w:t>Pareto</w:t>
      </w:r>
      <w:r w:rsidRPr="003E660F">
        <w:rPr>
          <w:rFonts w:cs="Times New Roman"/>
        </w:rPr>
        <w:t xml:space="preserve"> superior to P</w:t>
      </w:r>
      <w:r>
        <w:rPr>
          <w:rFonts w:cs="Times New Roman"/>
          <w:i/>
          <w:vertAlign w:val="subscript"/>
        </w:rPr>
        <w:t>y</w:t>
      </w:r>
      <w:r w:rsidRPr="003E660F">
        <w:rPr>
          <w:rFonts w:cs="Times New Roman"/>
        </w:rPr>
        <w:t xml:space="preserve"> relative to D</w:t>
      </w:r>
      <w:r>
        <w:rPr>
          <w:rFonts w:cs="Times New Roman"/>
        </w:rPr>
        <w:t>: this is what I am calling a supervaluationist reading</w:t>
      </w:r>
      <w:r w:rsidRPr="003E660F">
        <w:rPr>
          <w:rFonts w:cs="Times New Roman"/>
        </w:rPr>
        <w:t xml:space="preserve">. </w:t>
      </w:r>
    </w:p>
    <w:p w14:paraId="723ABDCD" w14:textId="4EF9F112" w:rsidR="001F1A06" w:rsidRDefault="001F1A06" w:rsidP="001859AE">
      <w:pPr>
        <w:jc w:val="both"/>
        <w:rPr>
          <w:rFonts w:cs="Times New Roman"/>
        </w:rPr>
      </w:pPr>
      <w:r>
        <w:t xml:space="preserve">An alternative way of reading the </w:t>
      </w:r>
      <w:r>
        <w:rPr>
          <w:i/>
          <w:iCs/>
        </w:rPr>
        <w:t>ex ante</w:t>
      </w:r>
      <w:r>
        <w:t xml:space="preserve"> pareto principle deserves a mention – but only to dismiss it at once. This is the option of fixing – for any given choice scenario and fixed population – a particular admissible set of designators as the special ones: if P</w:t>
      </w:r>
      <w:r w:rsidRPr="00BC6144">
        <w:rPr>
          <w:i/>
          <w:vertAlign w:val="subscript"/>
        </w:rPr>
        <w:t>x</w:t>
      </w:r>
      <w:r>
        <w:t xml:space="preserve"> is </w:t>
      </w:r>
      <w:r>
        <w:rPr>
          <w:i/>
          <w:iCs/>
        </w:rPr>
        <w:t>ex ante</w:t>
      </w:r>
      <w:r>
        <w:t xml:space="preserve"> Pareto superior to</w:t>
      </w:r>
      <w:r w:rsidRPr="00BC6144">
        <w:rPr>
          <w:i/>
          <w:vertAlign w:val="subscript"/>
        </w:rPr>
        <w:t xml:space="preserve"> </w:t>
      </w:r>
      <w:r w:rsidRPr="00BC6144">
        <w:t>P</w:t>
      </w:r>
      <w:r w:rsidRPr="00BC6144">
        <w:rPr>
          <w:i/>
          <w:vertAlign w:val="subscript"/>
        </w:rPr>
        <w:t xml:space="preserve">y </w:t>
      </w:r>
      <w:r>
        <w:t xml:space="preserve">relative to the special set of designators, then it is </w:t>
      </w:r>
      <w:r>
        <w:rPr>
          <w:i/>
          <w:iCs/>
        </w:rPr>
        <w:t>ex ante</w:t>
      </w:r>
      <w:r>
        <w:t xml:space="preserve"> Pareto superior simpliciter. But the problem is that the choice of the set of designators is itself an important moral choice. We might say that we should use the designators that pick people out by their most relevant characteristics, but who is to say which characteristics are the relevant ones in a given scenario? The motivation for the </w:t>
      </w:r>
      <w:r>
        <w:rPr>
          <w:i/>
        </w:rPr>
        <w:t>ex ante</w:t>
      </w:r>
      <w:r>
        <w:t xml:space="preserve"> Pareto principle was simply a concern for the prospects for each person, considered separately. If it turns out that in applying the </w:t>
      </w:r>
      <w:r>
        <w:rPr>
          <w:i/>
          <w:iCs/>
        </w:rPr>
        <w:t>ex ante</w:t>
      </w:r>
      <w:r>
        <w:t xml:space="preserve"> Pareto principle we are (explicitly or tacitly) making some further moral choice in our selection of designators, then the principle will have lost its appeal.</w:t>
      </w:r>
      <w:r w:rsidRPr="001F1A06">
        <w:t xml:space="preserve"> </w:t>
      </w:r>
      <w:r>
        <w:t xml:space="preserve">The subvaluationist and supervaluationist readings do not require us to make such a moral choice, and to this extent at least they are natural and faithful expressions of the spirit behind the </w:t>
      </w:r>
      <w:r>
        <w:rPr>
          <w:i/>
          <w:iCs/>
        </w:rPr>
        <w:t>ex ante</w:t>
      </w:r>
      <w:r>
        <w:t xml:space="preserve"> Pareto principle.  </w:t>
      </w:r>
    </w:p>
    <w:p w14:paraId="4D625712" w14:textId="7E9AED18" w:rsidR="00690BD0" w:rsidRDefault="00690BD0" w:rsidP="001859AE">
      <w:pPr>
        <w:jc w:val="both"/>
        <w:rPr>
          <w:rFonts w:cs="Times New Roman"/>
        </w:rPr>
      </w:pPr>
      <w:r w:rsidRPr="003E660F">
        <w:rPr>
          <w:rFonts w:cs="Times New Roman"/>
        </w:rPr>
        <w:lastRenderedPageBreak/>
        <w:t xml:space="preserve">I discuss both </w:t>
      </w:r>
      <w:r w:rsidR="000700EF">
        <w:rPr>
          <w:rFonts w:cs="Times New Roman"/>
        </w:rPr>
        <w:t>the subvaluationist and supervaluationist readings</w:t>
      </w:r>
      <w:r w:rsidRPr="003E660F">
        <w:rPr>
          <w:rFonts w:cs="Times New Roman"/>
        </w:rPr>
        <w:t xml:space="preserve"> in detail below. But first I turn to a key question: </w:t>
      </w:r>
      <w:r>
        <w:rPr>
          <w:rFonts w:cs="Times New Roman"/>
        </w:rPr>
        <w:t>besides (a) and (b) above, are there any other restrictions on which sets of designators are admissible</w:t>
      </w:r>
      <w:r w:rsidRPr="003E660F">
        <w:rPr>
          <w:rFonts w:cs="Times New Roman"/>
        </w:rPr>
        <w:t>?</w:t>
      </w:r>
      <w:r>
        <w:rPr>
          <w:rFonts w:cs="Times New Roman"/>
        </w:rPr>
        <w:t xml:space="preserve"> </w:t>
      </w:r>
    </w:p>
    <w:p w14:paraId="56C462CA" w14:textId="77777777" w:rsidR="00690BD0" w:rsidRDefault="00690BD0" w:rsidP="001859AE">
      <w:pPr>
        <w:jc w:val="both"/>
        <w:rPr>
          <w:rFonts w:cs="Times New Roman"/>
        </w:rPr>
      </w:pPr>
    </w:p>
    <w:p w14:paraId="4BD454E8" w14:textId="4B3C8147" w:rsidR="00690BD0" w:rsidRDefault="00690BD0" w:rsidP="001859AE">
      <w:pPr>
        <w:pStyle w:val="Heading2"/>
        <w:jc w:val="both"/>
      </w:pPr>
      <w:r>
        <w:t>Admissible sets of designators</w:t>
      </w:r>
    </w:p>
    <w:p w14:paraId="1A187D82" w14:textId="314D0272" w:rsidR="00690BD0" w:rsidRPr="003E660F" w:rsidRDefault="00690BD0" w:rsidP="001859AE">
      <w:pPr>
        <w:jc w:val="both"/>
        <w:rPr>
          <w:rFonts w:cs="Times New Roman"/>
        </w:rPr>
      </w:pPr>
      <w:r w:rsidRPr="003E660F">
        <w:rPr>
          <w:rFonts w:cs="Times New Roman"/>
        </w:rPr>
        <w:t>Philosophers of language recognize a variety of different types of designators</w:t>
      </w:r>
      <w:r>
        <w:rPr>
          <w:rFonts w:cs="Times New Roman"/>
        </w:rPr>
        <w:t xml:space="preserve">, including </w:t>
      </w:r>
      <w:r w:rsidRPr="003E660F">
        <w:rPr>
          <w:rFonts w:cs="Times New Roman"/>
        </w:rPr>
        <w:t xml:space="preserve">proper names, definite descriptions, demonstratives and indexicals. Numerous designators of any or all of these types can apply to a single person. For example, we are supposing that </w:t>
      </w:r>
      <w:r>
        <w:rPr>
          <w:rFonts w:cs="Times New Roman"/>
        </w:rPr>
        <w:t>one of Penelope’s patients has the name ‘Alice’ and also the name ‘Ms Smith’</w:t>
      </w:r>
      <w:r w:rsidRPr="003E660F">
        <w:rPr>
          <w:rFonts w:cs="Times New Roman"/>
        </w:rPr>
        <w:t>. She may h</w:t>
      </w:r>
      <w:r>
        <w:rPr>
          <w:rFonts w:cs="Times New Roman"/>
        </w:rPr>
        <w:t>ave other names: perhaps her colleagues know her as ‘</w:t>
      </w:r>
      <w:r w:rsidR="00D03F5F">
        <w:rPr>
          <w:rFonts w:cs="Times New Roman"/>
        </w:rPr>
        <w:t>Professor</w:t>
      </w:r>
      <w:r>
        <w:rPr>
          <w:rFonts w:cs="Times New Roman"/>
        </w:rPr>
        <w:t xml:space="preserve"> Randall’ and</w:t>
      </w:r>
      <w:r w:rsidRPr="003E660F">
        <w:rPr>
          <w:rFonts w:cs="Times New Roman"/>
        </w:rPr>
        <w:t xml:space="preserve"> her childhood friends know her as ‘Tiddles’. There will also be </w:t>
      </w:r>
      <w:r>
        <w:rPr>
          <w:rFonts w:cs="Times New Roman"/>
        </w:rPr>
        <w:t xml:space="preserve">a multitude of </w:t>
      </w:r>
      <w:r w:rsidRPr="003E660F">
        <w:rPr>
          <w:rFonts w:cs="Times New Roman"/>
        </w:rPr>
        <w:t xml:space="preserve">definite descriptions that apply to her: we know that she is the </w:t>
      </w:r>
      <w:r>
        <w:rPr>
          <w:rFonts w:cs="Times New Roman"/>
        </w:rPr>
        <w:t>first patient to arrive to see Penelope; perhaps she is also the patient with NHS number 2487341, and no doubt there are numerous other ways to describe her</w:t>
      </w:r>
      <w:r w:rsidRPr="003E660F">
        <w:rPr>
          <w:rFonts w:cs="Times New Roman"/>
        </w:rPr>
        <w:t xml:space="preserve">. Then there are demonstratives, such as ‘that’ and ‘this’, and indexicals such as ‘me’ and ‘you’, that could be used (in the right circumstances) to designate this person. </w:t>
      </w:r>
    </w:p>
    <w:p w14:paraId="3FEEF197" w14:textId="49A318DE" w:rsidR="00690BD0" w:rsidRPr="003A7B32" w:rsidRDefault="00690BD0" w:rsidP="001859AE">
      <w:pPr>
        <w:jc w:val="both"/>
        <w:rPr>
          <w:rFonts w:cs="Times New Roman"/>
        </w:rPr>
      </w:pPr>
      <w:r w:rsidRPr="003E660F">
        <w:rPr>
          <w:rFonts w:cs="Times New Roman"/>
        </w:rPr>
        <w:t xml:space="preserve">There are all sorts of theories about these different sorts of designators and how they work. I don’t enter into issues over how to analyse these designators here. I will just assume for the present that any of these different types of designators can </w:t>
      </w:r>
      <w:r>
        <w:rPr>
          <w:rFonts w:cs="Times New Roman"/>
        </w:rPr>
        <w:t>be members of an admissible set of designators</w:t>
      </w:r>
      <w:r w:rsidRPr="003E660F">
        <w:rPr>
          <w:rFonts w:cs="Times New Roman"/>
        </w:rPr>
        <w:t xml:space="preserve">. This is an assumption that I will revisit shortly, but taking it for granted shows us quickly how to generate </w:t>
      </w:r>
      <w:r>
        <w:rPr>
          <w:rFonts w:cs="Times New Roman"/>
        </w:rPr>
        <w:t xml:space="preserve">multiple admissible </w:t>
      </w:r>
      <w:r w:rsidRPr="003E660F">
        <w:rPr>
          <w:rFonts w:cs="Times New Roman"/>
        </w:rPr>
        <w:t xml:space="preserve">sets of designators for a given population. </w:t>
      </w:r>
      <w:r>
        <w:rPr>
          <w:rFonts w:cs="Times New Roman"/>
        </w:rPr>
        <w:t xml:space="preserve">The earlier example involving the sets {‘Alice’, ‘Belinda’} and {‘Ms Smith’, ‘Ms Jones’} may have seemed quite contrived, as though I had to carefully craft the scenario in order to get two rival sets of designators, and this might </w:t>
      </w:r>
      <w:r>
        <w:rPr>
          <w:rFonts w:cs="Times New Roman"/>
        </w:rPr>
        <w:lastRenderedPageBreak/>
        <w:t xml:space="preserve">make you think that the problem I have raised for the concept of </w:t>
      </w:r>
      <w:r>
        <w:rPr>
          <w:rFonts w:cs="Times New Roman"/>
          <w:i/>
        </w:rPr>
        <w:t>ex ante</w:t>
      </w:r>
      <w:r>
        <w:rPr>
          <w:rFonts w:cs="Times New Roman"/>
        </w:rPr>
        <w:t xml:space="preserve"> Pareto superiority is quite obscure. But in fact there will be multiple sets of rival designators in almost all cases where we might want to apply the concept: they may not all have the intuitive force of the sets in the example I gave in the last section, but (I </w:t>
      </w:r>
      <w:r w:rsidR="00D03F5F">
        <w:rPr>
          <w:rFonts w:cs="Times New Roman"/>
        </w:rPr>
        <w:t xml:space="preserve">will </w:t>
      </w:r>
      <w:r>
        <w:rPr>
          <w:rFonts w:cs="Times New Roman"/>
        </w:rPr>
        <w:t xml:space="preserve">argue) the intuitive force is not important. Thus the problem for the concept of </w:t>
      </w:r>
      <w:r>
        <w:rPr>
          <w:rFonts w:cs="Times New Roman"/>
          <w:i/>
        </w:rPr>
        <w:t>ex ante</w:t>
      </w:r>
      <w:r>
        <w:rPr>
          <w:rFonts w:cs="Times New Roman"/>
        </w:rPr>
        <w:t xml:space="preserve"> Pareto superiority is widespread. I turn now to show how we can generate multiple sets of rival designators in almost any scenario. </w:t>
      </w:r>
    </w:p>
    <w:p w14:paraId="7F669242" w14:textId="5572DC9F" w:rsidR="00690BD0" w:rsidRDefault="00690BD0" w:rsidP="001859AE">
      <w:pPr>
        <w:jc w:val="both"/>
        <w:rPr>
          <w:rFonts w:cs="Times New Roman"/>
        </w:rPr>
      </w:pPr>
      <w:r>
        <w:rPr>
          <w:rFonts w:cs="Times New Roman"/>
        </w:rPr>
        <w:t xml:space="preserve">Let us suppose </w:t>
      </w:r>
      <w:r w:rsidRPr="003E660F">
        <w:rPr>
          <w:rFonts w:cs="Times New Roman"/>
        </w:rPr>
        <w:t>that the population consists of just two people, and let us begin with one</w:t>
      </w:r>
      <w:r>
        <w:rPr>
          <w:rFonts w:cs="Times New Roman"/>
        </w:rPr>
        <w:t xml:space="preserve"> set of designators D that is admissible – that is, </w:t>
      </w:r>
      <w:r w:rsidRPr="003E660F">
        <w:rPr>
          <w:rFonts w:cs="Times New Roman"/>
        </w:rPr>
        <w:t xml:space="preserve">the </w:t>
      </w:r>
      <w:r>
        <w:rPr>
          <w:rFonts w:cs="Times New Roman"/>
        </w:rPr>
        <w:t>decision-maker</w:t>
      </w:r>
      <w:r w:rsidRPr="003E660F">
        <w:rPr>
          <w:rFonts w:cs="Times New Roman"/>
        </w:rPr>
        <w:t xml:space="preserve"> knows that each designator in D designates one member of the population, and </w:t>
      </w:r>
      <w:r>
        <w:rPr>
          <w:rFonts w:cs="Times New Roman"/>
        </w:rPr>
        <w:t xml:space="preserve">that </w:t>
      </w:r>
      <w:r w:rsidRPr="003E660F">
        <w:rPr>
          <w:rFonts w:cs="Times New Roman"/>
        </w:rPr>
        <w:t>every member of the population is designated by some designator in D. Suppose that this set D = {‘</w:t>
      </w:r>
      <w:r>
        <w:rPr>
          <w:rFonts w:cs="Times New Roman"/>
        </w:rPr>
        <w:t>Chris, ‘Dom’</w:t>
      </w:r>
      <w:r w:rsidRPr="003E660F">
        <w:rPr>
          <w:rFonts w:cs="Times New Roman"/>
        </w:rPr>
        <w:t>}. We can then use this set D to generate other sets D</w:t>
      </w:r>
      <w:r>
        <w:rPr>
          <w:rFonts w:cs="Times New Roman"/>
        </w:rPr>
        <w:t>*</w:t>
      </w:r>
      <w:r w:rsidRPr="003E660F">
        <w:rPr>
          <w:rFonts w:cs="Times New Roman"/>
        </w:rPr>
        <w:t>, D</w:t>
      </w:r>
      <w:r>
        <w:rPr>
          <w:rFonts w:cs="Times New Roman"/>
        </w:rPr>
        <w:t>**</w:t>
      </w:r>
      <w:r w:rsidRPr="003E660F">
        <w:rPr>
          <w:rFonts w:cs="Times New Roman"/>
        </w:rPr>
        <w:t xml:space="preserve"> and so on that </w:t>
      </w:r>
      <w:r>
        <w:rPr>
          <w:rFonts w:cs="Times New Roman"/>
        </w:rPr>
        <w:t>are also admissible</w:t>
      </w:r>
      <w:r w:rsidRPr="003E660F">
        <w:rPr>
          <w:rFonts w:cs="Times New Roman"/>
        </w:rPr>
        <w:t xml:space="preserve">. To do so, we just need the </w:t>
      </w:r>
      <w:r>
        <w:rPr>
          <w:rFonts w:cs="Times New Roman"/>
        </w:rPr>
        <w:t>decision-maker</w:t>
      </w:r>
      <w:r w:rsidRPr="003E660F">
        <w:rPr>
          <w:rFonts w:cs="Times New Roman"/>
        </w:rPr>
        <w:t xml:space="preserve"> to have some uncertainty – uncertainty over anything will do. We can suppose for example that the </w:t>
      </w:r>
      <w:r>
        <w:rPr>
          <w:rFonts w:cs="Times New Roman"/>
        </w:rPr>
        <w:t>decision-maker</w:t>
      </w:r>
      <w:r w:rsidRPr="003E660F">
        <w:rPr>
          <w:rFonts w:cs="Times New Roman"/>
        </w:rPr>
        <w:t xml:space="preserve"> has been tossing a coin, and has dropped it under the sofa, so that </w:t>
      </w:r>
      <w:r>
        <w:rPr>
          <w:rFonts w:cs="Times New Roman"/>
        </w:rPr>
        <w:t>s</w:t>
      </w:r>
      <w:r w:rsidRPr="003E660F">
        <w:rPr>
          <w:rFonts w:cs="Times New Roman"/>
        </w:rPr>
        <w:t xml:space="preserve">he doesn’t know which way up it has landed. </w:t>
      </w:r>
      <w:r>
        <w:rPr>
          <w:rFonts w:cs="Times New Roman"/>
        </w:rPr>
        <w:t>Sh</w:t>
      </w:r>
      <w:r w:rsidRPr="003E660F">
        <w:rPr>
          <w:rFonts w:cs="Times New Roman"/>
        </w:rPr>
        <w:t xml:space="preserve">e has a credence of 0.5 that it has landed heads (HEADS), and a credence of 0.5 that it has landed tails (TAILS). Then we can </w:t>
      </w:r>
      <w:r>
        <w:rPr>
          <w:rFonts w:cs="Times New Roman"/>
        </w:rPr>
        <w:t>coin</w:t>
      </w:r>
      <w:r w:rsidRPr="003E660F">
        <w:rPr>
          <w:rFonts w:cs="Times New Roman"/>
        </w:rPr>
        <w:t xml:space="preserve"> the following predicate, </w:t>
      </w:r>
      <w:r>
        <w:rPr>
          <w:rFonts w:cs="Times New Roman"/>
        </w:rPr>
        <w:t>F</w:t>
      </w:r>
      <w:r w:rsidRPr="003E660F">
        <w:rPr>
          <w:rFonts w:cs="Times New Roman"/>
        </w:rPr>
        <w:t>, where a person</w:t>
      </w:r>
      <w:r>
        <w:rPr>
          <w:rFonts w:cs="Times New Roman"/>
        </w:rPr>
        <w:t xml:space="preserve"> </w:t>
      </w:r>
      <w:r>
        <w:rPr>
          <w:rFonts w:cs="Times New Roman"/>
          <w:i/>
          <w:iCs/>
        </w:rPr>
        <w:t>x</w:t>
      </w:r>
      <w:r>
        <w:rPr>
          <w:rFonts w:cs="Times New Roman"/>
        </w:rPr>
        <w:t xml:space="preserve"> </w:t>
      </w:r>
      <w:r w:rsidRPr="003E660F">
        <w:rPr>
          <w:rFonts w:cs="Times New Roman"/>
        </w:rPr>
        <w:t xml:space="preserve">is </w:t>
      </w:r>
      <w:r>
        <w:rPr>
          <w:rFonts w:cs="Times New Roman"/>
        </w:rPr>
        <w:t>F</w:t>
      </w:r>
      <w:r w:rsidRPr="003E660F">
        <w:rPr>
          <w:rFonts w:cs="Times New Roman"/>
        </w:rPr>
        <w:t xml:space="preserve"> iff </w:t>
      </w:r>
      <w:r w:rsidRPr="00E328E4">
        <w:rPr>
          <w:rFonts w:cs="Times New Roman"/>
          <w:i/>
          <w:iCs/>
        </w:rPr>
        <w:t>x</w:t>
      </w:r>
      <w:r>
        <w:rPr>
          <w:rFonts w:cs="Times New Roman"/>
        </w:rPr>
        <w:t xml:space="preserve"> is either Chris and HEADS obtains, or Dom and TAILS obtains.</w:t>
      </w:r>
      <w:r w:rsidRPr="003E660F">
        <w:rPr>
          <w:rFonts w:cs="Times New Roman"/>
        </w:rPr>
        <w:t xml:space="preserve"> This gives us the definite description ‘the </w:t>
      </w:r>
      <w:r>
        <w:rPr>
          <w:rFonts w:cs="Times New Roman"/>
        </w:rPr>
        <w:t>F</w:t>
      </w:r>
      <w:r w:rsidRPr="003E660F">
        <w:rPr>
          <w:rFonts w:cs="Times New Roman"/>
        </w:rPr>
        <w:t xml:space="preserve">’. We can similarly construct the reverse predicate, </w:t>
      </w:r>
      <w:r>
        <w:rPr>
          <w:rFonts w:cs="Times New Roman"/>
        </w:rPr>
        <w:t>F*</w:t>
      </w:r>
      <w:r w:rsidRPr="003E660F">
        <w:rPr>
          <w:rFonts w:cs="Times New Roman"/>
        </w:rPr>
        <w:t xml:space="preserve">, where a person </w:t>
      </w:r>
      <w:r w:rsidRPr="003E660F">
        <w:rPr>
          <w:rFonts w:cs="Times New Roman"/>
          <w:i/>
        </w:rPr>
        <w:t>x</w:t>
      </w:r>
      <w:r w:rsidRPr="003E660F">
        <w:rPr>
          <w:rFonts w:cs="Times New Roman"/>
        </w:rPr>
        <w:t xml:space="preserve"> is </w:t>
      </w:r>
      <w:r>
        <w:rPr>
          <w:rFonts w:cs="Times New Roman"/>
        </w:rPr>
        <w:t>F*</w:t>
      </w:r>
      <w:r w:rsidRPr="003E660F">
        <w:rPr>
          <w:rFonts w:cs="Times New Roman"/>
        </w:rPr>
        <w:t xml:space="preserve"> iff </w:t>
      </w:r>
      <w:r w:rsidRPr="00E328E4">
        <w:rPr>
          <w:rFonts w:cs="Times New Roman"/>
          <w:i/>
          <w:iCs/>
        </w:rPr>
        <w:t>x</w:t>
      </w:r>
      <w:r>
        <w:rPr>
          <w:rFonts w:cs="Times New Roman"/>
        </w:rPr>
        <w:t xml:space="preserve"> is either Dom and HEADS obtains, or Chris and TAILS obtains. </w:t>
      </w:r>
      <w:r w:rsidRPr="003E660F">
        <w:rPr>
          <w:rFonts w:cs="Times New Roman"/>
        </w:rPr>
        <w:t xml:space="preserve">This gives us the definite description ‘the </w:t>
      </w:r>
      <w:r>
        <w:rPr>
          <w:rFonts w:cs="Times New Roman"/>
        </w:rPr>
        <w:t>F*</w:t>
      </w:r>
      <w:r w:rsidRPr="003E660F">
        <w:rPr>
          <w:rFonts w:cs="Times New Roman"/>
        </w:rPr>
        <w:t xml:space="preserve">’. Thus we have a second set of </w:t>
      </w:r>
      <w:r>
        <w:rPr>
          <w:rFonts w:cs="Times New Roman"/>
        </w:rPr>
        <w:t>admissible designators</w:t>
      </w:r>
      <w:r w:rsidRPr="003E660F">
        <w:rPr>
          <w:rFonts w:cs="Times New Roman"/>
        </w:rPr>
        <w:t xml:space="preserve">: </w:t>
      </w:r>
      <w:r>
        <w:rPr>
          <w:rFonts w:cs="Times New Roman"/>
        </w:rPr>
        <w:t>D*=</w:t>
      </w:r>
      <w:r w:rsidRPr="003E660F">
        <w:rPr>
          <w:rFonts w:cs="Times New Roman"/>
        </w:rPr>
        <w:t xml:space="preserve">{‘the </w:t>
      </w:r>
      <w:r>
        <w:rPr>
          <w:rFonts w:cs="Times New Roman"/>
        </w:rPr>
        <w:t>F</w:t>
      </w:r>
      <w:r w:rsidRPr="003E660F">
        <w:rPr>
          <w:rFonts w:cs="Times New Roman"/>
        </w:rPr>
        <w:t xml:space="preserve">’, ‘the </w:t>
      </w:r>
      <w:r>
        <w:rPr>
          <w:rFonts w:cs="Times New Roman"/>
        </w:rPr>
        <w:t>F*</w:t>
      </w:r>
      <w:r w:rsidRPr="003E660F">
        <w:rPr>
          <w:rFonts w:cs="Times New Roman"/>
        </w:rPr>
        <w:t xml:space="preserve">’}. </w:t>
      </w:r>
    </w:p>
    <w:p w14:paraId="15E30DD3" w14:textId="424E0322" w:rsidR="00690BD0" w:rsidRDefault="00690BD0" w:rsidP="00B773EB">
      <w:pPr>
        <w:jc w:val="both"/>
        <w:rPr>
          <w:rFonts w:cs="Times New Roman"/>
        </w:rPr>
      </w:pPr>
      <w:r>
        <w:rPr>
          <w:rFonts w:cs="Times New Roman"/>
        </w:rPr>
        <w:t xml:space="preserve">The prospects for the F and the F* under a given policy may (but need not) be different from the prospects for Dom and Chris. To see how the prospects might differ, suppose we </w:t>
      </w:r>
      <w:r>
        <w:rPr>
          <w:rFonts w:cs="Times New Roman"/>
        </w:rPr>
        <w:lastRenderedPageBreak/>
        <w:t xml:space="preserve">consider the policy whereby Chris gets 10 units of welfare if the coin landed heads, and nothing otherwise, and Dom gets 10 units of welfare if it landed tails and nothing otherwise. Under this policy, the prospects for both Dom and Chris are (0.5)(10) = 5. In contrast, the prospects for the F and the F* under this policy are 10 and 0 respectively. Thus the prospects for each of the members of set D under a given policy can be different from the prospects for each of the members of set D* under the same policy. The total prospects under a given policy will be the same for the members of D as for D*, but the distribution can vary. For example, we can see that the total prospects under the relevant policy for the members of D={‘Chris’, ‘Dom’} come to 5+5=10, and the total prospects for the members of D*={‘the F’, ‘the F*’} also come to 10+0=10, but the distribution pattern is different. </w:t>
      </w:r>
    </w:p>
    <w:p w14:paraId="3F54CD2B" w14:textId="58ABE70A" w:rsidR="00690BD0" w:rsidRDefault="00690BD0" w:rsidP="001859AE">
      <w:pPr>
        <w:jc w:val="both"/>
        <w:rPr>
          <w:rFonts w:cs="Times New Roman"/>
        </w:rPr>
      </w:pPr>
      <w:r>
        <w:rPr>
          <w:rFonts w:cs="Times New Roman"/>
        </w:rPr>
        <w:t>In the earlier case of {‘Alice’, ‘Belinda’} and {‘Ms Smith’, ‘Ms Jones’}, the claim that here we had two rival sets of designators seemed quite compelling. Above, in the case of {‘Chris, ‘Dom’} and {‘the F’, ‘the F*’} we saw how from a seed set of designators it was easy to generate a further set of designators, given some uncertainty over a partition. From here we can see (and I discuss below) how widespread are cases of multiple sets of designators. But the generated designators {‘the F’, ‘the F*’} are rather unintuitive, and so here it may seem less clear that we really do have two rival sets of designators. After all, the generated designators seem to be gerrymandered: should we allow designators that are gerrymandered in this way?</w:t>
      </w:r>
      <w:r w:rsidRPr="003E660F">
        <w:rPr>
          <w:rFonts w:cs="Times New Roman"/>
        </w:rPr>
        <w:t xml:space="preserve"> I </w:t>
      </w:r>
      <w:r>
        <w:rPr>
          <w:rFonts w:cs="Times New Roman"/>
        </w:rPr>
        <w:t xml:space="preserve">turn to argue now that we </w:t>
      </w:r>
      <w:r w:rsidRPr="003E660F">
        <w:rPr>
          <w:rFonts w:cs="Times New Roman"/>
        </w:rPr>
        <w:t xml:space="preserve">must, because there is no good rationale for excluding them. </w:t>
      </w:r>
    </w:p>
    <w:p w14:paraId="332D6FB6" w14:textId="15D2EFCA" w:rsidR="00690BD0" w:rsidRPr="003E660F" w:rsidRDefault="00690BD0" w:rsidP="001859AE">
      <w:pPr>
        <w:jc w:val="both"/>
        <w:rPr>
          <w:rFonts w:cs="Times New Roman"/>
        </w:rPr>
      </w:pPr>
      <w:r>
        <w:rPr>
          <w:rFonts w:cs="Times New Roman"/>
        </w:rPr>
        <w:t xml:space="preserve">Let’s start by considering what sorts of restrictions we could try placing on sets of designators that would allow us to exclude sets like {‘the F’, ‘the F*’}. </w:t>
      </w:r>
      <w:r w:rsidRPr="003E660F">
        <w:rPr>
          <w:rFonts w:cs="Times New Roman"/>
        </w:rPr>
        <w:t xml:space="preserve">We might begin by ruling out definite descriptions, and insisting that only proper names are allowed. </w:t>
      </w:r>
      <w:r>
        <w:rPr>
          <w:rFonts w:cs="Times New Roman"/>
        </w:rPr>
        <w:t>But a</w:t>
      </w:r>
      <w:r w:rsidRPr="003E660F">
        <w:rPr>
          <w:rFonts w:cs="Times New Roman"/>
        </w:rPr>
        <w:t xml:space="preserve"> </w:t>
      </w:r>
      <w:r w:rsidRPr="003E660F">
        <w:rPr>
          <w:rFonts w:cs="Times New Roman"/>
        </w:rPr>
        <w:lastRenderedPageBreak/>
        <w:t>problem with this idea is that proper names are easily produced, for they can be defined by description.</w:t>
      </w:r>
      <w:r w:rsidR="000168CE" w:rsidRPr="003E660F">
        <w:rPr>
          <w:rStyle w:val="FootnoteReference"/>
          <w:rFonts w:cs="Times New Roman"/>
        </w:rPr>
        <w:footnoteReference w:id="4"/>
      </w:r>
      <w:r w:rsidR="000168CE" w:rsidRPr="003E660F">
        <w:rPr>
          <w:rFonts w:cs="Times New Roman"/>
        </w:rPr>
        <w:t xml:space="preserve"> </w:t>
      </w:r>
      <w:r w:rsidRPr="003E660F">
        <w:rPr>
          <w:rFonts w:cs="Times New Roman"/>
        </w:rPr>
        <w:t xml:space="preserve">Thus the </w:t>
      </w:r>
      <w:r>
        <w:rPr>
          <w:rFonts w:cs="Times New Roman"/>
        </w:rPr>
        <w:t>decision-maker</w:t>
      </w:r>
      <w:r w:rsidRPr="003E660F">
        <w:rPr>
          <w:rFonts w:cs="Times New Roman"/>
        </w:rPr>
        <w:t xml:space="preserve"> can simply state that henceforth the person who is the </w:t>
      </w:r>
      <w:r>
        <w:rPr>
          <w:rFonts w:cs="Times New Roman"/>
        </w:rPr>
        <w:t>F</w:t>
      </w:r>
      <w:r w:rsidRPr="003E660F">
        <w:rPr>
          <w:rFonts w:cs="Times New Roman"/>
        </w:rPr>
        <w:t>, whoever that is, shall be called ‘</w:t>
      </w:r>
      <w:r>
        <w:rPr>
          <w:rFonts w:cs="Times New Roman"/>
        </w:rPr>
        <w:t>Frank</w:t>
      </w:r>
      <w:r w:rsidRPr="003E660F">
        <w:rPr>
          <w:rFonts w:cs="Times New Roman"/>
        </w:rPr>
        <w:t xml:space="preserve">’ and whoever is the </w:t>
      </w:r>
      <w:r>
        <w:rPr>
          <w:rFonts w:cs="Times New Roman"/>
        </w:rPr>
        <w:t>F*</w:t>
      </w:r>
      <w:r w:rsidRPr="003E660F">
        <w:rPr>
          <w:rFonts w:cs="Times New Roman"/>
        </w:rPr>
        <w:t xml:space="preserve"> shall be called ‘</w:t>
      </w:r>
      <w:r>
        <w:rPr>
          <w:rFonts w:cs="Times New Roman"/>
        </w:rPr>
        <w:t>Fred</w:t>
      </w:r>
      <w:r w:rsidRPr="003E660F">
        <w:rPr>
          <w:rFonts w:cs="Times New Roman"/>
        </w:rPr>
        <w:t xml:space="preserve">’. Then we can replace the set {‘the </w:t>
      </w:r>
      <w:r>
        <w:rPr>
          <w:rFonts w:cs="Times New Roman"/>
        </w:rPr>
        <w:t>F</w:t>
      </w:r>
      <w:r w:rsidRPr="003E660F">
        <w:rPr>
          <w:rFonts w:cs="Times New Roman"/>
        </w:rPr>
        <w:t xml:space="preserve">’, ‘the </w:t>
      </w:r>
      <w:r>
        <w:rPr>
          <w:rFonts w:cs="Times New Roman"/>
        </w:rPr>
        <w:t>F*</w:t>
      </w:r>
      <w:r w:rsidRPr="003E660F">
        <w:rPr>
          <w:rFonts w:cs="Times New Roman"/>
        </w:rPr>
        <w:t>’} with the set {‘</w:t>
      </w:r>
      <w:r>
        <w:rPr>
          <w:rFonts w:cs="Times New Roman"/>
        </w:rPr>
        <w:t>Frank’, ‘Fred’</w:t>
      </w:r>
      <w:r w:rsidRPr="003E660F">
        <w:rPr>
          <w:rFonts w:cs="Times New Roman"/>
        </w:rPr>
        <w:t>} which consists of proper names as required. The same point applies to the attempt to limit the designators to rigid designators, for of course given that ‘</w:t>
      </w:r>
      <w:r>
        <w:rPr>
          <w:rFonts w:cs="Times New Roman"/>
        </w:rPr>
        <w:t>Frank</w:t>
      </w:r>
      <w:r w:rsidRPr="003E660F">
        <w:rPr>
          <w:rFonts w:cs="Times New Roman"/>
        </w:rPr>
        <w:t xml:space="preserve">’ is a proper name, it is a rigid designator (and indeed we could have just made the definite descriptions rigid, by replacing ‘the </w:t>
      </w:r>
      <w:r>
        <w:rPr>
          <w:rFonts w:cs="Times New Roman"/>
        </w:rPr>
        <w:t>F</w:t>
      </w:r>
      <w:r w:rsidRPr="003E660F">
        <w:rPr>
          <w:rFonts w:cs="Times New Roman"/>
        </w:rPr>
        <w:t xml:space="preserve">’ with ‘the actual </w:t>
      </w:r>
      <w:r>
        <w:rPr>
          <w:rFonts w:cs="Times New Roman"/>
        </w:rPr>
        <w:t>F</w:t>
      </w:r>
      <w:r w:rsidRPr="003E660F">
        <w:rPr>
          <w:rFonts w:cs="Times New Roman"/>
        </w:rPr>
        <w:t>’</w:t>
      </w:r>
      <w:r>
        <w:rPr>
          <w:rFonts w:cs="Times New Roman"/>
        </w:rPr>
        <w:t xml:space="preserve"> and so on</w:t>
      </w:r>
      <w:r w:rsidRPr="003E660F">
        <w:rPr>
          <w:rFonts w:cs="Times New Roman"/>
        </w:rPr>
        <w:t xml:space="preserve">). </w:t>
      </w:r>
    </w:p>
    <w:p w14:paraId="2B19732D" w14:textId="3622F179" w:rsidR="00690BD0" w:rsidRDefault="00690BD0" w:rsidP="001859AE">
      <w:pPr>
        <w:jc w:val="both"/>
        <w:rPr>
          <w:rFonts w:cs="Times New Roman"/>
        </w:rPr>
      </w:pPr>
      <w:r w:rsidRPr="003E660F">
        <w:rPr>
          <w:rFonts w:cs="Times New Roman"/>
        </w:rPr>
        <w:t xml:space="preserve">It might be objected that names produced in this way are not the right sorts of names. We don’t </w:t>
      </w:r>
      <w:r w:rsidRPr="003E660F">
        <w:rPr>
          <w:rFonts w:cs="Times New Roman"/>
          <w:i/>
        </w:rPr>
        <w:t>normally</w:t>
      </w:r>
      <w:r w:rsidRPr="003E660F">
        <w:rPr>
          <w:rFonts w:cs="Times New Roman"/>
        </w:rPr>
        <w:t xml:space="preserve"> name things by description: normally naming something involves standing in some sort of causal relationship with the thing named. Exactly what this involves is </w:t>
      </w:r>
      <w:r>
        <w:rPr>
          <w:rFonts w:cs="Times New Roman"/>
        </w:rPr>
        <w:t xml:space="preserve">a debated question </w:t>
      </w:r>
      <w:sdt>
        <w:sdtPr>
          <w:rPr>
            <w:rFonts w:cs="Times New Roman"/>
          </w:rPr>
          <w:id w:val="1092661873"/>
          <w:citation/>
        </w:sdtPr>
        <w:sdtEndPr/>
        <w:sdtContent>
          <w:r>
            <w:rPr>
              <w:rFonts w:cs="Times New Roman"/>
            </w:rPr>
            <w:fldChar w:fldCharType="begin"/>
          </w:r>
          <w:r>
            <w:rPr>
              <w:rFonts w:cs="Times New Roman"/>
            </w:rPr>
            <w:instrText xml:space="preserve"> CITATION Kri80 \l 2057  \m Sea83</w:instrText>
          </w:r>
          <w:r>
            <w:rPr>
              <w:rFonts w:cs="Times New Roman"/>
            </w:rPr>
            <w:fldChar w:fldCharType="separate"/>
          </w:r>
          <w:r w:rsidR="00122864" w:rsidRPr="00122864">
            <w:rPr>
              <w:rFonts w:cs="Times New Roman"/>
              <w:noProof/>
            </w:rPr>
            <w:t>(Kripke 1980, Searle 1983)</w:t>
          </w:r>
          <w:r>
            <w:rPr>
              <w:rFonts w:cs="Times New Roman"/>
            </w:rPr>
            <w:fldChar w:fldCharType="end"/>
          </w:r>
        </w:sdtContent>
      </w:sdt>
      <w:r>
        <w:rPr>
          <w:rFonts w:cs="Times New Roman"/>
        </w:rPr>
        <w:t xml:space="preserve">. </w:t>
      </w:r>
      <w:r w:rsidRPr="003E660F">
        <w:rPr>
          <w:rFonts w:cs="Times New Roman"/>
        </w:rPr>
        <w:t>When I</w:t>
      </w:r>
      <w:r>
        <w:rPr>
          <w:rFonts w:cs="Times New Roman"/>
        </w:rPr>
        <w:t xml:space="preserve"> get my new pet cat and say in its presence, </w:t>
      </w:r>
      <w:r w:rsidRPr="003E660F">
        <w:rPr>
          <w:rFonts w:cs="Times New Roman"/>
        </w:rPr>
        <w:t xml:space="preserve">‘I </w:t>
      </w:r>
      <w:r>
        <w:rPr>
          <w:rFonts w:cs="Times New Roman"/>
        </w:rPr>
        <w:t xml:space="preserve">hereby </w:t>
      </w:r>
      <w:r w:rsidRPr="003E660F">
        <w:rPr>
          <w:rFonts w:cs="Times New Roman"/>
        </w:rPr>
        <w:t>call it Felix’, then I do stand in a causal relationship to the cat</w:t>
      </w:r>
      <w:r>
        <w:rPr>
          <w:rFonts w:cs="Times New Roman"/>
        </w:rPr>
        <w:t xml:space="preserve"> just by standing near it</w:t>
      </w:r>
      <w:r w:rsidRPr="003E660F">
        <w:rPr>
          <w:rFonts w:cs="Times New Roman"/>
        </w:rPr>
        <w:t xml:space="preserve">, but so I do to the new basket, the immunisation certificate and </w:t>
      </w:r>
      <w:r>
        <w:rPr>
          <w:rFonts w:cs="Times New Roman"/>
        </w:rPr>
        <w:t xml:space="preserve">the other things in the room, and I </w:t>
      </w:r>
      <w:r w:rsidRPr="003E660F">
        <w:rPr>
          <w:rFonts w:cs="Times New Roman"/>
        </w:rPr>
        <w:t xml:space="preserve">haven’t named </w:t>
      </w:r>
      <w:r w:rsidRPr="003E660F">
        <w:rPr>
          <w:rFonts w:cs="Times New Roman"/>
          <w:i/>
        </w:rPr>
        <w:t>those</w:t>
      </w:r>
      <w:r w:rsidRPr="003E660F">
        <w:rPr>
          <w:rFonts w:cs="Times New Roman"/>
        </w:rPr>
        <w:t xml:space="preserve"> things. The causal relationship is not enough all by itself</w:t>
      </w:r>
      <w:r>
        <w:rPr>
          <w:rFonts w:cs="Times New Roman"/>
        </w:rPr>
        <w:t xml:space="preserve">: </w:t>
      </w:r>
      <w:r w:rsidRPr="003E660F">
        <w:rPr>
          <w:rFonts w:cs="Times New Roman"/>
        </w:rPr>
        <w:t>it needs to be backed up with an intention</w:t>
      </w:r>
      <w:r>
        <w:rPr>
          <w:rFonts w:cs="Times New Roman"/>
        </w:rPr>
        <w:t xml:space="preserve"> directed towards a particular object</w:t>
      </w:r>
      <w:r w:rsidRPr="003E660F">
        <w:rPr>
          <w:rFonts w:cs="Times New Roman"/>
        </w:rPr>
        <w:t xml:space="preserve">. Why </w:t>
      </w:r>
      <w:r>
        <w:rPr>
          <w:rFonts w:cs="Times New Roman"/>
        </w:rPr>
        <w:t xml:space="preserve">then </w:t>
      </w:r>
      <w:r w:rsidRPr="003E660F">
        <w:rPr>
          <w:rFonts w:cs="Times New Roman"/>
        </w:rPr>
        <w:t xml:space="preserve">couldn’t I stand in front of </w:t>
      </w:r>
      <w:r>
        <w:rPr>
          <w:rFonts w:cs="Times New Roman"/>
        </w:rPr>
        <w:t>Chris and Dom</w:t>
      </w:r>
      <w:r w:rsidRPr="003E660F">
        <w:rPr>
          <w:rFonts w:cs="Times New Roman"/>
        </w:rPr>
        <w:t xml:space="preserve"> and say ‘I hereby call </w:t>
      </w:r>
      <w:r>
        <w:rPr>
          <w:rFonts w:cs="Times New Roman"/>
        </w:rPr>
        <w:t>him ‘Frank’</w:t>
      </w:r>
      <w:r w:rsidRPr="003E660F">
        <w:rPr>
          <w:rFonts w:cs="Times New Roman"/>
        </w:rPr>
        <w:t xml:space="preserve">’ – intending to name the person who is the </w:t>
      </w:r>
      <w:r>
        <w:rPr>
          <w:rFonts w:cs="Times New Roman"/>
        </w:rPr>
        <w:t>F</w:t>
      </w:r>
      <w:r w:rsidRPr="003E660F">
        <w:rPr>
          <w:rFonts w:cs="Times New Roman"/>
        </w:rPr>
        <w:t>?</w:t>
      </w:r>
    </w:p>
    <w:p w14:paraId="1C9C741B" w14:textId="4D592063" w:rsidR="00690BD0" w:rsidRDefault="00690BD0" w:rsidP="001859AE">
      <w:pPr>
        <w:jc w:val="both"/>
        <w:rPr>
          <w:rFonts w:cs="Times New Roman"/>
        </w:rPr>
      </w:pPr>
      <w:r>
        <w:rPr>
          <w:rFonts w:cs="Times New Roman"/>
        </w:rPr>
        <w:t xml:space="preserve">A different objection is that </w:t>
      </w:r>
      <w:r>
        <w:rPr>
          <w:rFonts w:cs="Times New Roman"/>
          <w:i/>
        </w:rPr>
        <w:t>intuitively</w:t>
      </w:r>
      <w:r>
        <w:rPr>
          <w:rFonts w:cs="Times New Roman"/>
        </w:rPr>
        <w:t xml:space="preserve"> there is just no obligation to worry about the prospects for the F in the way that we should worry about the prospects for Chris and Dom. </w:t>
      </w:r>
      <w:r w:rsidRPr="003E660F">
        <w:rPr>
          <w:rFonts w:cs="Times New Roman"/>
        </w:rPr>
        <w:t xml:space="preserve">The intuition here might be that the </w:t>
      </w:r>
      <w:r>
        <w:rPr>
          <w:rFonts w:cs="Times New Roman"/>
        </w:rPr>
        <w:t>F</w:t>
      </w:r>
      <w:r w:rsidRPr="003E660F">
        <w:rPr>
          <w:rFonts w:cs="Times New Roman"/>
        </w:rPr>
        <w:t xml:space="preserve"> is not a real person, but some sort of gerrymandered figure. Of course, the person ‘the </w:t>
      </w:r>
      <w:r>
        <w:rPr>
          <w:rFonts w:cs="Times New Roman"/>
        </w:rPr>
        <w:t>F</w:t>
      </w:r>
      <w:r w:rsidRPr="003E660F">
        <w:rPr>
          <w:rFonts w:cs="Times New Roman"/>
        </w:rPr>
        <w:t>’ designates is not a gerrymandered figure: the expression designates an actual living person, just as the names ‘</w:t>
      </w:r>
      <w:r>
        <w:rPr>
          <w:rFonts w:cs="Times New Roman"/>
        </w:rPr>
        <w:t>Chris</w:t>
      </w:r>
      <w:r w:rsidRPr="003E660F">
        <w:rPr>
          <w:rFonts w:cs="Times New Roman"/>
        </w:rPr>
        <w:t xml:space="preserve">’ and </w:t>
      </w:r>
      <w:r w:rsidRPr="003E660F">
        <w:rPr>
          <w:rFonts w:cs="Times New Roman"/>
        </w:rPr>
        <w:lastRenderedPageBreak/>
        <w:t>‘</w:t>
      </w:r>
      <w:r>
        <w:rPr>
          <w:rFonts w:cs="Times New Roman"/>
        </w:rPr>
        <w:t>Dom</w:t>
      </w:r>
      <w:r w:rsidRPr="003E660F">
        <w:rPr>
          <w:rFonts w:cs="Times New Roman"/>
        </w:rPr>
        <w:t>’ do.</w:t>
      </w:r>
      <w:r w:rsidR="00D03F5F">
        <w:rPr>
          <w:rStyle w:val="FootnoteReference"/>
          <w:rFonts w:cs="Times New Roman"/>
        </w:rPr>
        <w:footnoteReference w:id="5"/>
      </w:r>
      <w:r w:rsidRPr="003E660F">
        <w:rPr>
          <w:rFonts w:cs="Times New Roman"/>
        </w:rPr>
        <w:t xml:space="preserve"> The </w:t>
      </w:r>
      <w:r>
        <w:rPr>
          <w:rFonts w:cs="Times New Roman"/>
        </w:rPr>
        <w:t>designator</w:t>
      </w:r>
      <w:r w:rsidRPr="003E660F">
        <w:rPr>
          <w:rFonts w:cs="Times New Roman"/>
        </w:rPr>
        <w:t xml:space="preserve"> is reasonably described as gerrymandered, but the person designated by the name is not. </w:t>
      </w:r>
      <w:r>
        <w:rPr>
          <w:rFonts w:cs="Times New Roman"/>
        </w:rPr>
        <w:t xml:space="preserve">But perhaps the point is just that because the designator is gerrymandered, there is no intuitive obligation to worry about the F’s prospects. To address this worry, we can add some detail to the scenario so that intuitively we </w:t>
      </w:r>
      <w:r>
        <w:rPr>
          <w:rFonts w:cs="Times New Roman"/>
          <w:i/>
        </w:rPr>
        <w:t>should</w:t>
      </w:r>
      <w:r>
        <w:rPr>
          <w:rFonts w:cs="Times New Roman"/>
        </w:rPr>
        <w:t xml:space="preserve"> be concerned with the prospects for the F. </w:t>
      </w:r>
      <w:r w:rsidRPr="003E660F">
        <w:rPr>
          <w:rFonts w:cs="Times New Roman"/>
        </w:rPr>
        <w:t>Let’s suppose that there is someone else (</w:t>
      </w:r>
      <w:r>
        <w:rPr>
          <w:rFonts w:cs="Times New Roman"/>
        </w:rPr>
        <w:t>‘</w:t>
      </w:r>
      <w:r w:rsidRPr="003E660F">
        <w:rPr>
          <w:rFonts w:cs="Times New Roman"/>
        </w:rPr>
        <w:t>the taunter</w:t>
      </w:r>
      <w:r>
        <w:rPr>
          <w:rFonts w:cs="Times New Roman"/>
        </w:rPr>
        <w:t>’</w:t>
      </w:r>
      <w:r w:rsidRPr="003E660F">
        <w:rPr>
          <w:rFonts w:cs="Times New Roman"/>
        </w:rPr>
        <w:t xml:space="preserve">) in the room with the </w:t>
      </w:r>
      <w:r>
        <w:rPr>
          <w:rFonts w:cs="Times New Roman"/>
        </w:rPr>
        <w:t>decision-maker</w:t>
      </w:r>
      <w:r w:rsidRPr="003E660F">
        <w:rPr>
          <w:rFonts w:cs="Times New Roman"/>
        </w:rPr>
        <w:t xml:space="preserve">. </w:t>
      </w:r>
      <w:r>
        <w:rPr>
          <w:rFonts w:cs="Times New Roman"/>
        </w:rPr>
        <w:t xml:space="preserve">The taunter knows Chris and Dom well (much better than the decision-maker, let’s suppose), and has looked under the sofa and seen how the coin has landed, and so knows who the F is. </w:t>
      </w:r>
      <w:r w:rsidRPr="003E660F">
        <w:rPr>
          <w:rFonts w:cs="Times New Roman"/>
        </w:rPr>
        <w:t xml:space="preserve">The taunter can then tell the </w:t>
      </w:r>
      <w:r>
        <w:rPr>
          <w:rFonts w:cs="Times New Roman"/>
        </w:rPr>
        <w:t>decision-maker</w:t>
      </w:r>
      <w:r w:rsidRPr="003E660F">
        <w:rPr>
          <w:rFonts w:cs="Times New Roman"/>
        </w:rPr>
        <w:t xml:space="preserve"> lots of information about the </w:t>
      </w:r>
      <w:r>
        <w:rPr>
          <w:rFonts w:cs="Times New Roman"/>
        </w:rPr>
        <w:t xml:space="preserve">F. </w:t>
      </w:r>
      <w:r w:rsidRPr="003E660F">
        <w:rPr>
          <w:rFonts w:cs="Times New Roman"/>
        </w:rPr>
        <w:t xml:space="preserve">For example, the taunter can explain that the </w:t>
      </w:r>
      <w:r>
        <w:rPr>
          <w:rFonts w:cs="Times New Roman"/>
        </w:rPr>
        <w:t>F</w:t>
      </w:r>
      <w:r w:rsidRPr="003E660F">
        <w:rPr>
          <w:rFonts w:cs="Times New Roman"/>
        </w:rPr>
        <w:t xml:space="preserve"> is known to his or her friends as Mosschops, </w:t>
      </w:r>
      <w:r>
        <w:rPr>
          <w:rFonts w:cs="Times New Roman"/>
        </w:rPr>
        <w:t>show the decision-maker various photos of the F and so on. The taunter could do the same for the F*. The decision-maker could then end up far more informed about the F and the F* than (s)he is about Chris and Dom: the decision-maker’s dossiers on ‘the F’ and ‘the F*’ are bulging with information, while his or her dossiers on Chris and Dom are rather thin. It is now very natural for the decision-maker to consider the prospects for the F and the F* under each policy. And the designators ‘the F’ and ‘the F*’ may no longer seem like gerrymandered designators. In fact, perhaps ‘Chris’ and ‘Dom’ are the gerrymandered designators: the decision-maker has a wealth of information about the F and the F*, and really just thinks of ‘Chris’ as a name for the person who is the F if the coin has landed heads, and the F* otherwise. Thus by giving the decision-maker more information about ‘the F’ and ‘the F*’, it becomes intuitive to be concerned with their prospects.</w:t>
      </w:r>
      <w:r w:rsidR="004C5957">
        <w:rPr>
          <w:rStyle w:val="FootnoteReference"/>
          <w:rFonts w:cs="Times New Roman"/>
        </w:rPr>
        <w:footnoteReference w:id="6"/>
      </w:r>
      <w:r>
        <w:rPr>
          <w:rFonts w:cs="Times New Roman"/>
        </w:rPr>
        <w:t xml:space="preserve"> But it can’t be the case that </w:t>
      </w:r>
      <w:r w:rsidRPr="003E660F">
        <w:rPr>
          <w:rFonts w:cs="Times New Roman"/>
        </w:rPr>
        <w:t xml:space="preserve">‘the </w:t>
      </w:r>
      <w:r>
        <w:rPr>
          <w:rFonts w:cs="Times New Roman"/>
        </w:rPr>
        <w:t>F</w:t>
      </w:r>
      <w:r w:rsidRPr="003E660F">
        <w:rPr>
          <w:rFonts w:cs="Times New Roman"/>
        </w:rPr>
        <w:t xml:space="preserve">’ is a </w:t>
      </w:r>
      <w:r w:rsidRPr="003E660F">
        <w:rPr>
          <w:rFonts w:cs="Times New Roman"/>
        </w:rPr>
        <w:lastRenderedPageBreak/>
        <w:t xml:space="preserve">designator worthy of concern </w:t>
      </w:r>
      <w:r>
        <w:rPr>
          <w:rFonts w:cs="Times New Roman"/>
        </w:rPr>
        <w:t xml:space="preserve">only if the decision-maker has enough information about ‘the F’. </w:t>
      </w:r>
      <w:r w:rsidRPr="003E660F">
        <w:rPr>
          <w:rFonts w:cs="Times New Roman"/>
        </w:rPr>
        <w:t xml:space="preserve">The intuition behind the original </w:t>
      </w:r>
      <w:r w:rsidRPr="006C43F7">
        <w:rPr>
          <w:rFonts w:cs="Times New Roman"/>
          <w:i/>
        </w:rPr>
        <w:t>ex ante</w:t>
      </w:r>
      <w:r w:rsidRPr="003E660F">
        <w:rPr>
          <w:rFonts w:cs="Times New Roman"/>
        </w:rPr>
        <w:t xml:space="preserve"> </w:t>
      </w:r>
      <w:r>
        <w:rPr>
          <w:rFonts w:cs="Times New Roman"/>
        </w:rPr>
        <w:t>Pareto</w:t>
      </w:r>
      <w:r w:rsidRPr="003E660F">
        <w:rPr>
          <w:rFonts w:cs="Times New Roman"/>
        </w:rPr>
        <w:t xml:space="preserve"> principle was that it concerned </w:t>
      </w:r>
      <w:r w:rsidRPr="003E660F">
        <w:rPr>
          <w:rFonts w:cs="Times New Roman"/>
          <w:i/>
        </w:rPr>
        <w:t xml:space="preserve">all </w:t>
      </w:r>
      <w:r w:rsidRPr="003E660F">
        <w:rPr>
          <w:rFonts w:cs="Times New Roman"/>
        </w:rPr>
        <w:t xml:space="preserve">people: not </w:t>
      </w:r>
      <w:r>
        <w:rPr>
          <w:rFonts w:cs="Times New Roman"/>
        </w:rPr>
        <w:t xml:space="preserve">just </w:t>
      </w:r>
      <w:r w:rsidRPr="003E660F">
        <w:rPr>
          <w:rFonts w:cs="Times New Roman"/>
        </w:rPr>
        <w:t>people that we felt some kind of connection with</w:t>
      </w:r>
      <w:r>
        <w:rPr>
          <w:rFonts w:cs="Times New Roman"/>
        </w:rPr>
        <w:t xml:space="preserve"> or had lots of information about</w:t>
      </w:r>
      <w:r w:rsidRPr="003E660F">
        <w:rPr>
          <w:rFonts w:cs="Times New Roman"/>
        </w:rPr>
        <w:t>, but all people</w:t>
      </w:r>
      <w:r>
        <w:rPr>
          <w:rFonts w:cs="Times New Roman"/>
        </w:rPr>
        <w:t xml:space="preserve"> regardless</w:t>
      </w:r>
      <w:r w:rsidRPr="003E660F">
        <w:rPr>
          <w:rFonts w:cs="Times New Roman"/>
        </w:rPr>
        <w:t xml:space="preserve">. Now we have seen that we need to consider designators rather than people, the same analogous principle should apply: the concept concerns all designators, not just </w:t>
      </w:r>
      <w:r>
        <w:rPr>
          <w:rFonts w:cs="Times New Roman"/>
        </w:rPr>
        <w:t>designators</w:t>
      </w:r>
      <w:r w:rsidRPr="003E660F">
        <w:rPr>
          <w:rFonts w:cs="Times New Roman"/>
        </w:rPr>
        <w:t xml:space="preserve"> that we feel </w:t>
      </w:r>
      <w:r>
        <w:rPr>
          <w:rFonts w:cs="Times New Roman"/>
        </w:rPr>
        <w:t>some sort of</w:t>
      </w:r>
      <w:r w:rsidRPr="003E660F">
        <w:rPr>
          <w:rFonts w:cs="Times New Roman"/>
        </w:rPr>
        <w:t xml:space="preserve"> interest in. </w:t>
      </w:r>
      <w:r>
        <w:rPr>
          <w:rFonts w:cs="Times New Roman"/>
        </w:rPr>
        <w:t xml:space="preserve">Thus there is no good rationale for excluding sets of gerrymandered designators. </w:t>
      </w:r>
    </w:p>
    <w:p w14:paraId="31A1E859" w14:textId="4DDD40B1" w:rsidR="00690BD0" w:rsidRDefault="00690BD0" w:rsidP="001859AE">
      <w:pPr>
        <w:jc w:val="both"/>
        <w:rPr>
          <w:rFonts w:cs="Times New Roman"/>
        </w:rPr>
      </w:pPr>
      <w:r>
        <w:rPr>
          <w:rFonts w:cs="Times New Roman"/>
        </w:rPr>
        <w:t xml:space="preserve">An alternative objection is to say that we should focus on designators that pick out the same person at every state. And (the objector might say) while ‘Chris’ and ‘Dom’ do pick out the same person at every state, ‘the F’ and ‘the F*’ do not. The thought here may relate to the idea that some but not all designators are rigid, where a rigid designator picks out the same object at all metaphysically possible worlds, whereas a non-rigid designator does not. Thus for example the rigid designator ‘George Orwell’ picks out the same person at every metaphysically possible world (where he exists), whereas the non-rigid designator ‘the winner of the Hugo award’, which happens to also pick out George Orwell </w:t>
      </w:r>
      <w:r>
        <w:rPr>
          <w:rFonts w:cs="Times New Roman"/>
        </w:rPr>
        <w:lastRenderedPageBreak/>
        <w:t xml:space="preserve">at the actual world, picks out other authors at other metaphysically possible worlds, because of course it is possible for other authors to have won that award instead. This distinction between rigid and non-rigid designators seems to make sense when we are thinking about metaphysically possible worlds. But the states that form part of the decision theorists’ and welfare economists’ framework are not metaphysically possible worlds. To see this, consider that the name ‘George Orwell’ picks out the same person at every metaphysically possible world (where he exists), and so does the name ‘Eric Blair’. Given that at the actual world, ‘George Orwell’ and ‘Eric Blair’ pick out the very same person (‘George Orwell’ was the pen-name of Eric Blair), these two names pick out the same person at every metaphysically possible world (where he exists). Thus there are no metaphysically possible worlds where George Orwell is not Eric Blair. But clearly a decision-maker might have a positive credence in the possibility that George Orwell is not Eric Blair. Thus we need a state where George Orwell is not Eric Blair, and as there is no metaphysically possible world where this holds, states cannot be metaphysically possible worlds. </w:t>
      </w:r>
      <w:r w:rsidR="007A69F6">
        <w:rPr>
          <w:rFonts w:cs="Times New Roman"/>
        </w:rPr>
        <w:t xml:space="preserve">We are dealing here with epistemic rather than metaphysical modality. </w:t>
      </w:r>
    </w:p>
    <w:p w14:paraId="5B38D7D0" w14:textId="70B534AF" w:rsidR="00690BD0" w:rsidRDefault="00690BD0" w:rsidP="001859AE">
      <w:pPr>
        <w:jc w:val="both"/>
        <w:rPr>
          <w:rFonts w:cs="Times New Roman"/>
        </w:rPr>
      </w:pPr>
      <w:r>
        <w:rPr>
          <w:rFonts w:cs="Times New Roman"/>
        </w:rPr>
        <w:t xml:space="preserve">Can we make sense of the idea of a designator that is rigid across states </w:t>
      </w:r>
      <w:r w:rsidR="007A69F6">
        <w:rPr>
          <w:rFonts w:cs="Times New Roman"/>
        </w:rPr>
        <w:t>– interpreted as</w:t>
      </w:r>
      <w:r w:rsidR="008D189A">
        <w:rPr>
          <w:rFonts w:cs="Times New Roman"/>
        </w:rPr>
        <w:t xml:space="preserve"> </w:t>
      </w:r>
      <w:r w:rsidR="007A69F6">
        <w:rPr>
          <w:rFonts w:cs="Times New Roman"/>
        </w:rPr>
        <w:t>epistemically possible worlds</w:t>
      </w:r>
      <w:r w:rsidR="008D189A">
        <w:rPr>
          <w:rFonts w:cs="Times New Roman"/>
        </w:rPr>
        <w:t xml:space="preserve">, </w:t>
      </w:r>
      <w:r>
        <w:rPr>
          <w:rFonts w:cs="Times New Roman"/>
        </w:rPr>
        <w:t>rather than metaphysically possible worlds? It is not at all obvious that we can.</w:t>
      </w:r>
      <w:r w:rsidR="000168CE">
        <w:rPr>
          <w:rStyle w:val="FootnoteReference"/>
          <w:rFonts w:cs="Times New Roman"/>
        </w:rPr>
        <w:footnoteReference w:id="7"/>
      </w:r>
      <w:r w:rsidR="000168CE">
        <w:rPr>
          <w:rFonts w:cs="Times New Roman"/>
        </w:rPr>
        <w:t xml:space="preserve"> </w:t>
      </w:r>
      <w:r>
        <w:rPr>
          <w:rFonts w:cs="Times New Roman"/>
        </w:rPr>
        <w:t xml:space="preserve">At any rate, ordinary proper names – though rigid across metaphysically possible worlds – will not be rigid across </w:t>
      </w:r>
      <w:r w:rsidR="007A69F6">
        <w:rPr>
          <w:rFonts w:cs="Times New Roman"/>
        </w:rPr>
        <w:t>epistemically possible worlds</w:t>
      </w:r>
      <w:r w:rsidR="00A11293">
        <w:rPr>
          <w:rFonts w:cs="Times New Roman"/>
        </w:rPr>
        <w:t xml:space="preserve">. We can see this by noting that, in order to allow an agent to be uncertain whether George Orwell is Eric Blair, we need George Orwell to be Eric Blair in some epistemically possible worlds but not others, so it cannot be the case that </w:t>
      </w:r>
      <w:r w:rsidR="00A11293" w:rsidRPr="00A11293">
        <w:rPr>
          <w:rFonts w:cs="Times New Roman"/>
          <w:i/>
          <w:iCs/>
        </w:rPr>
        <w:t>both</w:t>
      </w:r>
      <w:r w:rsidR="00A11293">
        <w:rPr>
          <w:rFonts w:cs="Times New Roman"/>
        </w:rPr>
        <w:t xml:space="preserve"> names refer rigidly</w:t>
      </w:r>
      <w:r w:rsidR="00A0525B">
        <w:rPr>
          <w:rFonts w:cs="Times New Roman"/>
        </w:rPr>
        <w:t xml:space="preserve"> or they would refer to the same person at all worlds.</w:t>
      </w:r>
      <w:r w:rsidR="00A11293">
        <w:rPr>
          <w:rFonts w:cs="Times New Roman"/>
        </w:rPr>
        <w:t xml:space="preserve"> </w:t>
      </w:r>
      <w:r w:rsidR="00A0525B">
        <w:rPr>
          <w:rFonts w:cs="Times New Roman"/>
        </w:rPr>
        <w:t xml:space="preserve">Clearly then not </w:t>
      </w:r>
      <w:r w:rsidR="00A11293">
        <w:rPr>
          <w:rFonts w:cs="Times New Roman"/>
        </w:rPr>
        <w:t xml:space="preserve">all proper names refer rigidly </w:t>
      </w:r>
      <w:r w:rsidR="00A11293">
        <w:rPr>
          <w:rFonts w:cs="Times New Roman"/>
        </w:rPr>
        <w:lastRenderedPageBreak/>
        <w:t>across epistemically possible worlds</w:t>
      </w:r>
      <w:r w:rsidR="00E1179F">
        <w:rPr>
          <w:rFonts w:cs="Times New Roman"/>
        </w:rPr>
        <w:t xml:space="preserve">, and we cannot class a designator as rigid </w:t>
      </w:r>
      <w:r w:rsidR="008D189A">
        <w:rPr>
          <w:rFonts w:cs="Times New Roman"/>
        </w:rPr>
        <w:t xml:space="preserve">(in this sense) </w:t>
      </w:r>
      <w:r w:rsidR="00E1179F">
        <w:rPr>
          <w:rFonts w:cs="Times New Roman"/>
        </w:rPr>
        <w:t xml:space="preserve">just </w:t>
      </w:r>
      <w:r w:rsidR="00655291">
        <w:rPr>
          <w:rFonts w:cs="Times New Roman"/>
        </w:rPr>
        <w:t>in virtue of its</w:t>
      </w:r>
      <w:r w:rsidR="00E1179F">
        <w:rPr>
          <w:rFonts w:cs="Times New Roman"/>
        </w:rPr>
        <w:t xml:space="preserve"> logical form. </w:t>
      </w:r>
      <w:r w:rsidR="00655291">
        <w:rPr>
          <w:rFonts w:cs="Times New Roman"/>
        </w:rPr>
        <w:t>We might hope instead to class some designators as rigid (</w:t>
      </w:r>
      <w:r w:rsidR="008D189A">
        <w:rPr>
          <w:rFonts w:cs="Times New Roman"/>
        </w:rPr>
        <w:t>in this sense</w:t>
      </w:r>
      <w:r w:rsidR="00655291">
        <w:rPr>
          <w:rFonts w:cs="Times New Roman"/>
        </w:rPr>
        <w:t>) in virtue of the information connected with those designators.</w:t>
      </w:r>
      <w:r w:rsidR="006412A6">
        <w:rPr>
          <w:rFonts w:cs="Times New Roman"/>
        </w:rPr>
        <w:t xml:space="preserve"> </w:t>
      </w:r>
      <w:r w:rsidR="00397046">
        <w:rPr>
          <w:rFonts w:cs="Times New Roman"/>
        </w:rPr>
        <w:t>If our agent has a lot of information about Eric Blair, then we might think that ‘Eric Blair’ should count as a rigid designator; but our agent might also have a lot of information about George Orwell, and as we have seen we can’t have both ‘Eric Blair’ and ‘George Orwell’ counting as rigid designators over epistemically possible worlds. The same holds for our designators ‘Chris’ and ‘the F’: these cannot both be rigid designators (over epistemically possible worlds) because there will be some epistemically possible worlds where Chris is the F, and some where he isn’t; we should not privilege ‘Chris’ as a rigid designator just because it is a proper name (</w:t>
      </w:r>
      <w:r w:rsidR="008D189A">
        <w:rPr>
          <w:rFonts w:cs="Times New Roman"/>
        </w:rPr>
        <w:t>recall that</w:t>
      </w:r>
      <w:r w:rsidR="00397046">
        <w:rPr>
          <w:rFonts w:cs="Times New Roman"/>
        </w:rPr>
        <w:t xml:space="preserve"> it is easy enough to coin a proper name to designate whoever is the F); and there may be no good way to discriminate </w:t>
      </w:r>
      <w:r w:rsidR="008D189A">
        <w:rPr>
          <w:rFonts w:cs="Times New Roman"/>
        </w:rPr>
        <w:t xml:space="preserve">between the two designators </w:t>
      </w:r>
      <w:r w:rsidR="00397046">
        <w:rPr>
          <w:rFonts w:cs="Times New Roman"/>
        </w:rPr>
        <w:t xml:space="preserve">based on the </w:t>
      </w:r>
      <w:r w:rsidR="008D189A">
        <w:rPr>
          <w:rFonts w:cs="Times New Roman"/>
        </w:rPr>
        <w:t xml:space="preserve">decision maker’s </w:t>
      </w:r>
      <w:r w:rsidR="00397046">
        <w:rPr>
          <w:rFonts w:cs="Times New Roman"/>
        </w:rPr>
        <w:t xml:space="preserve">information. </w:t>
      </w:r>
      <w:r w:rsidR="008D189A">
        <w:rPr>
          <w:rFonts w:cs="Times New Roman"/>
        </w:rPr>
        <w:t>Indeed, t</w:t>
      </w:r>
      <w:r>
        <w:rPr>
          <w:rFonts w:cs="Times New Roman"/>
        </w:rPr>
        <w:t>he very idea of</w:t>
      </w:r>
      <w:r w:rsidR="008D189A">
        <w:rPr>
          <w:rFonts w:cs="Times New Roman"/>
        </w:rPr>
        <w:t xml:space="preserve"> rigidity – once it is recognised that we are dealing with epistemically rather than metaphysically possible worlds – needs to be rethought.</w:t>
      </w:r>
      <w:r w:rsidR="00042367">
        <w:rPr>
          <w:rStyle w:val="FootnoteReference"/>
          <w:rFonts w:cs="Times New Roman"/>
        </w:rPr>
        <w:footnoteReference w:id="8"/>
      </w:r>
      <w:r>
        <w:rPr>
          <w:rFonts w:cs="Times New Roman"/>
        </w:rPr>
        <w:t xml:space="preserve"> Thus we cannot sensibly restrict the admissible sets of designators to those which contain only designators which are rigid across </w:t>
      </w:r>
      <w:r w:rsidR="008D189A">
        <w:rPr>
          <w:rFonts w:cs="Times New Roman"/>
        </w:rPr>
        <w:t>states</w:t>
      </w:r>
      <w:r>
        <w:rPr>
          <w:rFonts w:cs="Times New Roman"/>
        </w:rPr>
        <w:t xml:space="preserve">, and so the sets {‘Chris’, ‘Dom’} and {‘the F’, ‘the F*’} are on a par. </w:t>
      </w:r>
    </w:p>
    <w:p w14:paraId="4C0701AA" w14:textId="155915B2" w:rsidR="00690BD0" w:rsidRDefault="00690BD0" w:rsidP="001859AE">
      <w:pPr>
        <w:jc w:val="both"/>
        <w:rPr>
          <w:rFonts w:cs="Times New Roman"/>
        </w:rPr>
      </w:pPr>
      <w:r w:rsidRPr="003E660F">
        <w:rPr>
          <w:rFonts w:cs="Times New Roman"/>
        </w:rPr>
        <w:t xml:space="preserve">We generated the set of designators </w:t>
      </w:r>
      <w:r w:rsidRPr="00D922AB">
        <w:rPr>
          <w:rFonts w:cs="Times New Roman"/>
        </w:rPr>
        <w:t>D*</w:t>
      </w:r>
      <w:r>
        <w:rPr>
          <w:rFonts w:cs="Times New Roman"/>
        </w:rPr>
        <w:t>={</w:t>
      </w:r>
      <w:r w:rsidRPr="003E660F">
        <w:rPr>
          <w:rFonts w:cs="Times New Roman"/>
        </w:rPr>
        <w:t xml:space="preserve">‘the </w:t>
      </w:r>
      <w:r>
        <w:rPr>
          <w:rFonts w:cs="Times New Roman"/>
        </w:rPr>
        <w:t>F’, ‘the F*’}</w:t>
      </w:r>
      <w:r w:rsidRPr="003E660F">
        <w:rPr>
          <w:rFonts w:cs="Times New Roman"/>
        </w:rPr>
        <w:t xml:space="preserve"> from the original set of designators D={‘</w:t>
      </w:r>
      <w:r>
        <w:rPr>
          <w:rFonts w:cs="Times New Roman"/>
        </w:rPr>
        <w:t>Chris</w:t>
      </w:r>
      <w:r w:rsidRPr="003E660F">
        <w:rPr>
          <w:rFonts w:cs="Times New Roman"/>
        </w:rPr>
        <w:t>’</w:t>
      </w:r>
      <w:r>
        <w:rPr>
          <w:rFonts w:cs="Times New Roman"/>
        </w:rPr>
        <w:t>, ‘Dom’</w:t>
      </w:r>
      <w:r w:rsidRPr="003E660F">
        <w:rPr>
          <w:rFonts w:cs="Times New Roman"/>
        </w:rPr>
        <w:t xml:space="preserve">} in the following way. We found some partition over which the </w:t>
      </w:r>
      <w:r>
        <w:rPr>
          <w:rFonts w:cs="Times New Roman"/>
        </w:rPr>
        <w:t>decision-maker</w:t>
      </w:r>
      <w:r w:rsidRPr="003E660F">
        <w:rPr>
          <w:rFonts w:cs="Times New Roman"/>
        </w:rPr>
        <w:t xml:space="preserve"> was uncertain (in this case the events HEADS and TAILS). We then defined each new designator </w:t>
      </w:r>
      <w:r>
        <w:rPr>
          <w:rFonts w:cs="Times New Roman"/>
          <w:iCs/>
        </w:rPr>
        <w:t>D*</w:t>
      </w:r>
      <w:r w:rsidRPr="00AA65E8">
        <w:rPr>
          <w:rFonts w:cs="Times New Roman"/>
          <w:i/>
          <w:vertAlign w:val="subscript"/>
        </w:rPr>
        <w:t>k</w:t>
      </w:r>
      <w:r w:rsidRPr="003E660F">
        <w:rPr>
          <w:rFonts w:cs="Times New Roman"/>
        </w:rPr>
        <w:t xml:space="preserve"> in the set </w:t>
      </w:r>
      <w:r w:rsidRPr="00D922AB">
        <w:rPr>
          <w:rFonts w:cs="Times New Roman"/>
        </w:rPr>
        <w:t>D*</w:t>
      </w:r>
      <w:r w:rsidRPr="003E660F">
        <w:rPr>
          <w:rFonts w:cs="Times New Roman"/>
        </w:rPr>
        <w:t xml:space="preserve"> by stating, for each event, identity between </w:t>
      </w:r>
      <w:r>
        <w:rPr>
          <w:rFonts w:cs="Times New Roman"/>
          <w:iCs/>
        </w:rPr>
        <w:t>D*</w:t>
      </w:r>
      <w:r w:rsidRPr="003E660F">
        <w:rPr>
          <w:rFonts w:cs="Times New Roman"/>
          <w:i/>
          <w:vertAlign w:val="subscript"/>
        </w:rPr>
        <w:t>k</w:t>
      </w:r>
      <w:r w:rsidRPr="003E660F">
        <w:rPr>
          <w:rFonts w:cs="Times New Roman"/>
        </w:rPr>
        <w:t xml:space="preserve"> and some member of D. Thus for example, we defined ‘the </w:t>
      </w:r>
      <w:r>
        <w:rPr>
          <w:rFonts w:cs="Times New Roman"/>
        </w:rPr>
        <w:t>F</w:t>
      </w:r>
      <w:r w:rsidRPr="003E660F">
        <w:rPr>
          <w:rFonts w:cs="Times New Roman"/>
        </w:rPr>
        <w:t xml:space="preserve">’ in set </w:t>
      </w:r>
      <w:r w:rsidRPr="00D922AB">
        <w:rPr>
          <w:rFonts w:cs="Times New Roman"/>
        </w:rPr>
        <w:t>D*</w:t>
      </w:r>
      <w:r w:rsidRPr="003E660F">
        <w:rPr>
          <w:rFonts w:cs="Times New Roman"/>
        </w:rPr>
        <w:t xml:space="preserve"> by stating that </w:t>
      </w:r>
      <w:r w:rsidRPr="003E660F">
        <w:rPr>
          <w:rFonts w:cs="Times New Roman"/>
        </w:rPr>
        <w:lastRenderedPageBreak/>
        <w:t xml:space="preserve">at HEADS the </w:t>
      </w:r>
      <w:r>
        <w:rPr>
          <w:rFonts w:cs="Times New Roman"/>
        </w:rPr>
        <w:t>F</w:t>
      </w:r>
      <w:r w:rsidRPr="003E660F">
        <w:rPr>
          <w:rFonts w:cs="Times New Roman"/>
        </w:rPr>
        <w:t xml:space="preserve"> is </w:t>
      </w:r>
      <w:r>
        <w:rPr>
          <w:rFonts w:cs="Times New Roman"/>
        </w:rPr>
        <w:t xml:space="preserve">Chris, </w:t>
      </w:r>
      <w:r w:rsidRPr="003E660F">
        <w:rPr>
          <w:rFonts w:cs="Times New Roman"/>
        </w:rPr>
        <w:t xml:space="preserve">and at TAILS the </w:t>
      </w:r>
      <w:r>
        <w:rPr>
          <w:rFonts w:cs="Times New Roman"/>
        </w:rPr>
        <w:t>F</w:t>
      </w:r>
      <w:r w:rsidRPr="003E660F">
        <w:rPr>
          <w:rFonts w:cs="Times New Roman"/>
        </w:rPr>
        <w:t xml:space="preserve"> is </w:t>
      </w:r>
      <w:r>
        <w:rPr>
          <w:rFonts w:cs="Times New Roman"/>
        </w:rPr>
        <w:t>Dom</w:t>
      </w:r>
      <w:r w:rsidRPr="003E660F">
        <w:rPr>
          <w:rFonts w:cs="Times New Roman"/>
        </w:rPr>
        <w:t xml:space="preserve">. We defined each designator in </w:t>
      </w:r>
      <w:r w:rsidRPr="00D922AB">
        <w:rPr>
          <w:rFonts w:cs="Times New Roman"/>
        </w:rPr>
        <w:t>D*</w:t>
      </w:r>
      <w:r w:rsidRPr="003E660F">
        <w:rPr>
          <w:rFonts w:cs="Times New Roman"/>
        </w:rPr>
        <w:t xml:space="preserve"> in this way, ensuring that at each </w:t>
      </w:r>
      <w:r>
        <w:rPr>
          <w:rFonts w:cs="Times New Roman"/>
        </w:rPr>
        <w:t>event</w:t>
      </w:r>
      <w:r w:rsidRPr="003E660F">
        <w:rPr>
          <w:rFonts w:cs="Times New Roman"/>
        </w:rPr>
        <w:t xml:space="preserve"> each member of </w:t>
      </w:r>
      <w:r w:rsidRPr="00D922AB">
        <w:rPr>
          <w:rFonts w:cs="Times New Roman"/>
        </w:rPr>
        <w:t>D*</w:t>
      </w:r>
      <w:r w:rsidRPr="003E660F">
        <w:rPr>
          <w:rFonts w:cs="Times New Roman"/>
        </w:rPr>
        <w:t xml:space="preserve"> was paired one-to-one with a member of </w:t>
      </w:r>
      <w:r>
        <w:rPr>
          <w:rFonts w:cs="Times New Roman"/>
        </w:rPr>
        <w:t>D</w:t>
      </w:r>
      <w:r w:rsidRPr="003E660F">
        <w:rPr>
          <w:rFonts w:cs="Times New Roman"/>
        </w:rPr>
        <w:t>. In this way we arrived at the new set D</w:t>
      </w:r>
      <w:r>
        <w:rPr>
          <w:rFonts w:cs="Times New Roman"/>
        </w:rPr>
        <w:t>*</w:t>
      </w:r>
      <w:r w:rsidRPr="003E660F">
        <w:rPr>
          <w:rFonts w:cs="Times New Roman"/>
        </w:rPr>
        <w:t xml:space="preserve"> = {‘the </w:t>
      </w:r>
      <w:r>
        <w:rPr>
          <w:rFonts w:cs="Times New Roman"/>
        </w:rPr>
        <w:t>F</w:t>
      </w:r>
      <w:r w:rsidRPr="003E660F">
        <w:rPr>
          <w:rFonts w:cs="Times New Roman"/>
        </w:rPr>
        <w:t xml:space="preserve">’, ‘the </w:t>
      </w:r>
      <w:r>
        <w:rPr>
          <w:rFonts w:cs="Times New Roman"/>
        </w:rPr>
        <w:t>F*’</w:t>
      </w:r>
      <w:r w:rsidRPr="003E660F">
        <w:rPr>
          <w:rFonts w:cs="Times New Roman"/>
        </w:rPr>
        <w:t xml:space="preserve">}. </w:t>
      </w:r>
      <w:r>
        <w:rPr>
          <w:rFonts w:cs="Times New Roman"/>
        </w:rPr>
        <w:t xml:space="preserve">Call this process of moving from the set D to the set D* ‘gerrymandering’. </w:t>
      </w:r>
      <w:r w:rsidRPr="003E660F">
        <w:rPr>
          <w:rFonts w:cs="Times New Roman"/>
        </w:rPr>
        <w:t>Th</w:t>
      </w:r>
      <w:r>
        <w:rPr>
          <w:rFonts w:cs="Times New Roman"/>
        </w:rPr>
        <w:t>e</w:t>
      </w:r>
      <w:r w:rsidRPr="003E660F">
        <w:rPr>
          <w:rFonts w:cs="Times New Roman"/>
        </w:rPr>
        <w:t xml:space="preserve"> strategy can be repeated. Suppose for example that the </w:t>
      </w:r>
      <w:r>
        <w:rPr>
          <w:rFonts w:cs="Times New Roman"/>
        </w:rPr>
        <w:t>decision-maker</w:t>
      </w:r>
      <w:r w:rsidRPr="003E660F">
        <w:rPr>
          <w:rFonts w:cs="Times New Roman"/>
        </w:rPr>
        <w:t xml:space="preserve"> is uncertain how his next die roll will land. Then we can define a set of new designators </w:t>
      </w:r>
      <w:r w:rsidRPr="00D922AB">
        <w:rPr>
          <w:rFonts w:cs="Times New Roman"/>
        </w:rPr>
        <w:t>D*</w:t>
      </w:r>
      <w:r>
        <w:rPr>
          <w:rFonts w:cs="Times New Roman"/>
        </w:rPr>
        <w:t>* =</w:t>
      </w:r>
      <w:r w:rsidRPr="003E660F">
        <w:rPr>
          <w:rFonts w:cs="Times New Roman"/>
        </w:rPr>
        <w:t xml:space="preserve"> </w:t>
      </w:r>
      <w:r>
        <w:rPr>
          <w:rFonts w:cs="Times New Roman"/>
        </w:rPr>
        <w:t xml:space="preserve">{‘the G’, ‘the G*}, </w:t>
      </w:r>
      <w:r w:rsidRPr="003E660F">
        <w:rPr>
          <w:rFonts w:cs="Times New Roman"/>
        </w:rPr>
        <w:t xml:space="preserve">where the </w:t>
      </w:r>
      <w:r>
        <w:rPr>
          <w:rFonts w:cs="Times New Roman"/>
        </w:rPr>
        <w:t>G</w:t>
      </w:r>
      <w:r w:rsidRPr="003E660F">
        <w:rPr>
          <w:rFonts w:cs="Times New Roman"/>
        </w:rPr>
        <w:t xml:space="preserve"> is </w:t>
      </w:r>
      <w:r>
        <w:rPr>
          <w:rFonts w:cs="Times New Roman"/>
        </w:rPr>
        <w:t xml:space="preserve">Chris </w:t>
      </w:r>
      <w:r w:rsidRPr="003E660F">
        <w:rPr>
          <w:rFonts w:cs="Times New Roman"/>
        </w:rPr>
        <w:t xml:space="preserve">if the die lands on 1, but </w:t>
      </w:r>
      <w:r>
        <w:rPr>
          <w:rFonts w:cs="Times New Roman"/>
        </w:rPr>
        <w:t xml:space="preserve">Dom </w:t>
      </w:r>
      <w:r w:rsidRPr="003E660F">
        <w:rPr>
          <w:rFonts w:cs="Times New Roman"/>
        </w:rPr>
        <w:t>otherwise</w:t>
      </w:r>
      <w:r>
        <w:rPr>
          <w:rFonts w:cs="Times New Roman"/>
        </w:rPr>
        <w:t>, and</w:t>
      </w:r>
      <w:r w:rsidRPr="003E660F">
        <w:rPr>
          <w:rFonts w:cs="Times New Roman"/>
        </w:rPr>
        <w:t xml:space="preserve"> the </w:t>
      </w:r>
      <w:r>
        <w:rPr>
          <w:rFonts w:cs="Times New Roman"/>
        </w:rPr>
        <w:t>G*</w:t>
      </w:r>
      <w:r w:rsidRPr="003E660F">
        <w:rPr>
          <w:rFonts w:cs="Times New Roman"/>
        </w:rPr>
        <w:t xml:space="preserve"> is </w:t>
      </w:r>
      <w:r>
        <w:rPr>
          <w:rFonts w:cs="Times New Roman"/>
        </w:rPr>
        <w:t>Dom</w:t>
      </w:r>
      <w:r w:rsidRPr="003E660F">
        <w:rPr>
          <w:rFonts w:cs="Times New Roman"/>
        </w:rPr>
        <w:t xml:space="preserve"> if the di</w:t>
      </w:r>
      <w:r w:rsidR="00B8773D">
        <w:rPr>
          <w:rFonts w:cs="Times New Roman"/>
        </w:rPr>
        <w:t>e</w:t>
      </w:r>
      <w:r w:rsidRPr="003E660F">
        <w:rPr>
          <w:rFonts w:cs="Times New Roman"/>
        </w:rPr>
        <w:t xml:space="preserve"> lands on 1, but </w:t>
      </w:r>
      <w:r>
        <w:rPr>
          <w:rFonts w:cs="Times New Roman"/>
        </w:rPr>
        <w:t>Chris</w:t>
      </w:r>
      <w:r w:rsidRPr="003E660F">
        <w:rPr>
          <w:rFonts w:cs="Times New Roman"/>
        </w:rPr>
        <w:t xml:space="preserve"> otherwise. And </w:t>
      </w:r>
      <w:r>
        <w:rPr>
          <w:rFonts w:cs="Times New Roman"/>
        </w:rPr>
        <w:t xml:space="preserve">we can define </w:t>
      </w:r>
      <w:r w:rsidRPr="003E660F">
        <w:rPr>
          <w:rFonts w:cs="Times New Roman"/>
        </w:rPr>
        <w:t xml:space="preserve">another set of new designators </w:t>
      </w:r>
      <w:r w:rsidRPr="00D922AB">
        <w:rPr>
          <w:rFonts w:cs="Times New Roman"/>
        </w:rPr>
        <w:t>D*</w:t>
      </w:r>
      <w:r>
        <w:rPr>
          <w:rFonts w:cs="Times New Roman"/>
        </w:rPr>
        <w:t>** = {‘t</w:t>
      </w:r>
      <w:r w:rsidRPr="003E660F">
        <w:rPr>
          <w:rFonts w:cs="Times New Roman"/>
        </w:rPr>
        <w:t xml:space="preserve">he </w:t>
      </w:r>
      <w:r>
        <w:rPr>
          <w:rFonts w:cs="Times New Roman"/>
        </w:rPr>
        <w:t xml:space="preserve">H’, ‘the H*’}, </w:t>
      </w:r>
      <w:r w:rsidRPr="003E660F">
        <w:rPr>
          <w:rFonts w:cs="Times New Roman"/>
        </w:rPr>
        <w:t xml:space="preserve">where the </w:t>
      </w:r>
      <w:r>
        <w:rPr>
          <w:rFonts w:cs="Times New Roman"/>
        </w:rPr>
        <w:t>H</w:t>
      </w:r>
      <w:r w:rsidRPr="003E660F">
        <w:rPr>
          <w:rFonts w:cs="Times New Roman"/>
        </w:rPr>
        <w:t xml:space="preserve"> is </w:t>
      </w:r>
      <w:r>
        <w:rPr>
          <w:rFonts w:cs="Times New Roman"/>
        </w:rPr>
        <w:t>Chris</w:t>
      </w:r>
      <w:r w:rsidRPr="003E660F">
        <w:rPr>
          <w:rFonts w:cs="Times New Roman"/>
        </w:rPr>
        <w:t xml:space="preserve"> if the die lands on 1 or 2, but </w:t>
      </w:r>
      <w:r>
        <w:rPr>
          <w:rFonts w:cs="Times New Roman"/>
        </w:rPr>
        <w:t>Dom</w:t>
      </w:r>
      <w:r w:rsidRPr="003E660F">
        <w:rPr>
          <w:rFonts w:cs="Times New Roman"/>
        </w:rPr>
        <w:t xml:space="preserve"> otherwise</w:t>
      </w:r>
      <w:r>
        <w:rPr>
          <w:rFonts w:cs="Times New Roman"/>
        </w:rPr>
        <w:t>, and</w:t>
      </w:r>
      <w:r w:rsidRPr="003E660F">
        <w:rPr>
          <w:rFonts w:cs="Times New Roman"/>
        </w:rPr>
        <w:t xml:space="preserve"> the </w:t>
      </w:r>
      <w:r>
        <w:rPr>
          <w:rFonts w:cs="Times New Roman"/>
        </w:rPr>
        <w:t>H*</w:t>
      </w:r>
      <w:r w:rsidRPr="003E660F">
        <w:rPr>
          <w:rFonts w:cs="Times New Roman"/>
        </w:rPr>
        <w:t xml:space="preserve"> is </w:t>
      </w:r>
      <w:r>
        <w:rPr>
          <w:rFonts w:cs="Times New Roman"/>
        </w:rPr>
        <w:t>Dom</w:t>
      </w:r>
      <w:r w:rsidRPr="003E660F">
        <w:rPr>
          <w:rFonts w:cs="Times New Roman"/>
        </w:rPr>
        <w:t xml:space="preserve"> if the die lands on 1 or 2, but </w:t>
      </w:r>
      <w:r>
        <w:rPr>
          <w:rFonts w:cs="Times New Roman"/>
        </w:rPr>
        <w:t>Chris</w:t>
      </w:r>
      <w:r w:rsidRPr="003E660F">
        <w:rPr>
          <w:rFonts w:cs="Times New Roman"/>
        </w:rPr>
        <w:t xml:space="preserve"> otherwise. And many other sets of designators are possible. </w:t>
      </w:r>
    </w:p>
    <w:p w14:paraId="76410523" w14:textId="7A57F805" w:rsidR="00690BD0" w:rsidRPr="003E660F" w:rsidRDefault="00690BD0" w:rsidP="001859AE">
      <w:pPr>
        <w:jc w:val="both"/>
        <w:rPr>
          <w:rFonts w:cs="Times New Roman"/>
        </w:rPr>
      </w:pPr>
      <w:r>
        <w:rPr>
          <w:rFonts w:cs="Times New Roman"/>
        </w:rPr>
        <w:t>Thus for almost any decision situation involving uncertainty, for a fixed population there will be multiple admissible sets of designators.</w:t>
      </w:r>
      <w:r w:rsidR="00553E26">
        <w:rPr>
          <w:rStyle w:val="FootnoteReference"/>
          <w:rFonts w:cs="Times New Roman"/>
        </w:rPr>
        <w:footnoteReference w:id="9"/>
      </w:r>
      <w:r>
        <w:rPr>
          <w:rFonts w:cs="Times New Roman"/>
        </w:rPr>
        <w:t xml:space="preserve"> Starting from an </w:t>
      </w:r>
      <w:r w:rsidR="00C83853">
        <w:rPr>
          <w:rFonts w:cs="Times New Roman"/>
        </w:rPr>
        <w:t>admissible</w:t>
      </w:r>
      <w:r>
        <w:rPr>
          <w:rFonts w:cs="Times New Roman"/>
        </w:rPr>
        <w:t xml:space="preserve"> set of designators, we can generate more sets of designators by the process that I am calling ‘gerrymandering’. Let us say then that the collection of admissible sets of designators should be closed under gerrymandering – meaning that if there is any admissible set D of designators which can be converted into the set D* by the process I am calling ‘gerrymandering’, then D* is also admissible.  Wherever there is a population of more than one person and uncertainty over the state of the world, there will be more than one admissible set of designators.  There are just three sorts of cases in which for a fixed population, you will have effectively only one set of admissible designators: first, cases </w:t>
      </w:r>
      <w:r>
        <w:rPr>
          <w:rFonts w:cs="Times New Roman"/>
        </w:rPr>
        <w:lastRenderedPageBreak/>
        <w:t xml:space="preserve">where the relevant population is empty; second, cases where the relevant population contains just one person; and third, cases where the decision-maker has no uncertainty about the state of the world. The concept of </w:t>
      </w:r>
      <w:r>
        <w:rPr>
          <w:rFonts w:cs="Times New Roman"/>
          <w:i/>
          <w:iCs/>
        </w:rPr>
        <w:t>ex ante</w:t>
      </w:r>
      <w:r>
        <w:rPr>
          <w:rFonts w:cs="Times New Roman"/>
        </w:rPr>
        <w:t xml:space="preserve"> Pareto superiority would be of limited interest in these sorts of cases. </w:t>
      </w:r>
      <w:r w:rsidRPr="0038293D">
        <w:rPr>
          <w:rFonts w:cs="Times New Roman"/>
        </w:rPr>
        <w:t>In</w:t>
      </w:r>
      <w:r>
        <w:rPr>
          <w:rFonts w:cs="Times New Roman"/>
        </w:rPr>
        <w:t xml:space="preserve"> all other cases, there will be multiple admissible sets of designators. Thus the problem with the concept of </w:t>
      </w:r>
      <w:r>
        <w:rPr>
          <w:rFonts w:cs="Times New Roman"/>
          <w:i/>
          <w:iCs/>
        </w:rPr>
        <w:t>ex ante</w:t>
      </w:r>
      <w:r>
        <w:rPr>
          <w:rFonts w:cs="Times New Roman"/>
        </w:rPr>
        <w:t xml:space="preserve"> Pareto does not just arise for a few contrived examples, but infects almost all cases where we might wish to use the concept. If we want to carry on using the concept then, we will need to figure out how it should be read given that we have these rival sets of designators.</w:t>
      </w:r>
      <w:r w:rsidRPr="003E660F">
        <w:rPr>
          <w:rFonts w:cs="Times New Roman"/>
        </w:rPr>
        <w:t xml:space="preserve"> I turn now to the </w:t>
      </w:r>
      <w:r>
        <w:rPr>
          <w:rFonts w:cs="Times New Roman"/>
        </w:rPr>
        <w:t xml:space="preserve">first of </w:t>
      </w:r>
      <w:r w:rsidRPr="003E660F">
        <w:rPr>
          <w:rFonts w:cs="Times New Roman"/>
        </w:rPr>
        <w:t xml:space="preserve">two ways of reading the </w:t>
      </w:r>
      <w:r>
        <w:rPr>
          <w:rFonts w:cs="Times New Roman"/>
          <w:i/>
        </w:rPr>
        <w:t>ex ante</w:t>
      </w:r>
      <w:r w:rsidRPr="003E660F">
        <w:rPr>
          <w:rFonts w:cs="Times New Roman"/>
        </w:rPr>
        <w:t xml:space="preserve"> </w:t>
      </w:r>
      <w:r>
        <w:rPr>
          <w:rFonts w:cs="Times New Roman"/>
        </w:rPr>
        <w:t>Pareto</w:t>
      </w:r>
      <w:r w:rsidRPr="003E660F">
        <w:rPr>
          <w:rFonts w:cs="Times New Roman"/>
        </w:rPr>
        <w:t xml:space="preserve"> principle – the subvaluationist reading</w:t>
      </w:r>
      <w:r>
        <w:rPr>
          <w:rFonts w:cs="Times New Roman"/>
        </w:rPr>
        <w:t>.</w:t>
      </w:r>
    </w:p>
    <w:p w14:paraId="74BC7840" w14:textId="77777777" w:rsidR="00690BD0" w:rsidRDefault="00690BD0" w:rsidP="001859AE">
      <w:pPr>
        <w:jc w:val="both"/>
        <w:rPr>
          <w:rFonts w:cs="Times New Roman"/>
          <w:b/>
          <w:u w:val="single"/>
        </w:rPr>
      </w:pPr>
    </w:p>
    <w:p w14:paraId="726BCD96" w14:textId="2C34360B" w:rsidR="00690BD0" w:rsidRDefault="00690BD0" w:rsidP="001859AE">
      <w:pPr>
        <w:pStyle w:val="Heading2"/>
        <w:jc w:val="both"/>
      </w:pPr>
      <w:r>
        <w:t xml:space="preserve">The </w:t>
      </w:r>
      <w:r w:rsidRPr="003E660F">
        <w:t>Subvaluationis</w:t>
      </w:r>
      <w:r>
        <w:t>t Reading</w:t>
      </w:r>
    </w:p>
    <w:p w14:paraId="24989565" w14:textId="04EBB782" w:rsidR="00690BD0" w:rsidRPr="007B7DB0" w:rsidRDefault="00690BD0" w:rsidP="001859AE">
      <w:pPr>
        <w:jc w:val="both"/>
        <w:rPr>
          <w:rFonts w:cs="Times New Roman"/>
        </w:rPr>
      </w:pPr>
      <w:r w:rsidRPr="003E660F">
        <w:rPr>
          <w:rFonts w:cs="Times New Roman"/>
        </w:rPr>
        <w:t>We already know what it is for one p</w:t>
      </w:r>
      <w:r w:rsidR="00C83853">
        <w:rPr>
          <w:rFonts w:cs="Times New Roman"/>
        </w:rPr>
        <w:t>olicy</w:t>
      </w:r>
      <w:r>
        <w:rPr>
          <w:rFonts w:cs="Times New Roman"/>
        </w:rPr>
        <w:t xml:space="preserve"> P</w:t>
      </w:r>
      <w:r w:rsidRPr="009966C5">
        <w:rPr>
          <w:rFonts w:cs="Times New Roman"/>
          <w:i/>
          <w:iCs/>
          <w:vertAlign w:val="subscript"/>
        </w:rPr>
        <w:t>x</w:t>
      </w:r>
      <w:r>
        <w:rPr>
          <w:rFonts w:cs="Times New Roman"/>
        </w:rPr>
        <w:t xml:space="preserve"> </w:t>
      </w:r>
      <w:r w:rsidRPr="003E660F">
        <w:rPr>
          <w:rFonts w:cs="Times New Roman"/>
        </w:rPr>
        <w:t xml:space="preserve">to be </w:t>
      </w:r>
      <w:r>
        <w:rPr>
          <w:rFonts w:cs="Times New Roman"/>
          <w:i/>
        </w:rPr>
        <w:t>ex ante</w:t>
      </w:r>
      <w:r w:rsidRPr="003E660F">
        <w:rPr>
          <w:rFonts w:cs="Times New Roman"/>
        </w:rPr>
        <w:t xml:space="preserve"> </w:t>
      </w:r>
      <w:r>
        <w:rPr>
          <w:rFonts w:cs="Times New Roman"/>
        </w:rPr>
        <w:t>Pareto</w:t>
      </w:r>
      <w:r w:rsidRPr="003E660F">
        <w:rPr>
          <w:rFonts w:cs="Times New Roman"/>
        </w:rPr>
        <w:t xml:space="preserve"> superior to another p</w:t>
      </w:r>
      <w:r w:rsidR="00C83853">
        <w:rPr>
          <w:rFonts w:cs="Times New Roman"/>
        </w:rPr>
        <w:t>olicy</w:t>
      </w:r>
      <w:r w:rsidRPr="00BC6144">
        <w:rPr>
          <w:rFonts w:cs="Times New Roman"/>
          <w:i/>
          <w:vertAlign w:val="subscript"/>
        </w:rPr>
        <w:t xml:space="preserve"> </w:t>
      </w:r>
      <w:r w:rsidRPr="00BC6144">
        <w:rPr>
          <w:rFonts w:cs="Times New Roman"/>
        </w:rPr>
        <w:t>P</w:t>
      </w:r>
      <w:r w:rsidRPr="00BC6144">
        <w:rPr>
          <w:rFonts w:cs="Times New Roman"/>
          <w:i/>
          <w:vertAlign w:val="subscript"/>
        </w:rPr>
        <w:t xml:space="preserve">y </w:t>
      </w:r>
      <w:r w:rsidRPr="003E660F">
        <w:rPr>
          <w:rFonts w:cs="Times New Roman"/>
          <w:i/>
        </w:rPr>
        <w:t>relative to some admissible set of designators D</w:t>
      </w:r>
      <w:r w:rsidRPr="003E660F">
        <w:rPr>
          <w:rFonts w:cs="Times New Roman"/>
        </w:rPr>
        <w:t>. But what is it for a p</w:t>
      </w:r>
      <w:r w:rsidR="00C83853">
        <w:rPr>
          <w:rFonts w:cs="Times New Roman"/>
        </w:rPr>
        <w:t>olicy</w:t>
      </w:r>
      <w:r>
        <w:rPr>
          <w:rFonts w:cs="Times New Roman"/>
        </w:rPr>
        <w:t xml:space="preserve"> P</w:t>
      </w:r>
      <w:r w:rsidRPr="00AB2931">
        <w:rPr>
          <w:rFonts w:cs="Times New Roman"/>
          <w:i/>
          <w:vertAlign w:val="subscript"/>
        </w:rPr>
        <w:t>x</w:t>
      </w:r>
      <w:r>
        <w:rPr>
          <w:rFonts w:cs="Times New Roman"/>
        </w:rPr>
        <w:t xml:space="preserve"> </w:t>
      </w:r>
      <w:r w:rsidRPr="003E660F">
        <w:rPr>
          <w:rFonts w:cs="Times New Roman"/>
        </w:rPr>
        <w:t xml:space="preserve">to be </w:t>
      </w:r>
      <w:r>
        <w:rPr>
          <w:rFonts w:cs="Times New Roman"/>
          <w:i/>
        </w:rPr>
        <w:t>ex ante</w:t>
      </w:r>
      <w:r w:rsidRPr="003E660F">
        <w:rPr>
          <w:rFonts w:cs="Times New Roman"/>
          <w:i/>
        </w:rPr>
        <w:t xml:space="preserve"> </w:t>
      </w:r>
      <w:r>
        <w:rPr>
          <w:rFonts w:cs="Times New Roman"/>
        </w:rPr>
        <w:t>Pareto</w:t>
      </w:r>
      <w:r w:rsidRPr="003E660F">
        <w:rPr>
          <w:rFonts w:cs="Times New Roman"/>
        </w:rPr>
        <w:t xml:space="preserve"> superior simpliciter (given a particular fixed population)? </w:t>
      </w:r>
      <w:r>
        <w:rPr>
          <w:rFonts w:cs="Times New Roman"/>
        </w:rPr>
        <w:t>In this section I consider one answer to this question: the subvaluationist reading. On this view, P</w:t>
      </w:r>
      <w:r w:rsidRPr="00AB2931">
        <w:rPr>
          <w:rFonts w:cs="Times New Roman"/>
          <w:i/>
          <w:vertAlign w:val="subscript"/>
        </w:rPr>
        <w:t>x</w:t>
      </w:r>
      <w:r>
        <w:rPr>
          <w:rFonts w:cs="Times New Roman"/>
        </w:rPr>
        <w:t xml:space="preserve"> is </w:t>
      </w:r>
      <w:r>
        <w:rPr>
          <w:rFonts w:cs="Times New Roman"/>
          <w:i/>
          <w:iCs/>
        </w:rPr>
        <w:t>ex ante</w:t>
      </w:r>
      <w:r>
        <w:rPr>
          <w:rFonts w:cs="Times New Roman"/>
        </w:rPr>
        <w:t xml:space="preserve"> Pareto superior</w:t>
      </w:r>
      <w:r>
        <w:rPr>
          <w:rFonts w:cs="Times New Roman"/>
          <w:vertAlign w:val="subscript"/>
        </w:rPr>
        <w:t>sub</w:t>
      </w:r>
      <w:r>
        <w:rPr>
          <w:rFonts w:cs="Times New Roman"/>
        </w:rPr>
        <w:t xml:space="preserve"> to</w:t>
      </w:r>
      <w:r w:rsidRPr="00BC6144">
        <w:rPr>
          <w:rFonts w:cs="Times New Roman"/>
          <w:i/>
          <w:vertAlign w:val="subscript"/>
        </w:rPr>
        <w:t xml:space="preserve"> </w:t>
      </w:r>
      <w:r w:rsidRPr="00BC6144">
        <w:rPr>
          <w:rFonts w:cs="Times New Roman"/>
        </w:rPr>
        <w:t>P</w:t>
      </w:r>
      <w:r w:rsidRPr="00BC6144">
        <w:rPr>
          <w:rFonts w:cs="Times New Roman"/>
          <w:i/>
          <w:vertAlign w:val="subscript"/>
        </w:rPr>
        <w:t xml:space="preserve">y </w:t>
      </w:r>
      <w:r>
        <w:rPr>
          <w:rFonts w:cs="Times New Roman"/>
        </w:rPr>
        <w:t xml:space="preserve">provided that there is </w:t>
      </w:r>
      <w:r>
        <w:rPr>
          <w:rFonts w:cs="Times New Roman"/>
          <w:i/>
          <w:iCs/>
        </w:rPr>
        <w:t>some</w:t>
      </w:r>
      <w:r>
        <w:rPr>
          <w:rFonts w:cs="Times New Roman"/>
        </w:rPr>
        <w:t xml:space="preserve"> admissible set of designators D such that P</w:t>
      </w:r>
      <w:r w:rsidRPr="00AB2931">
        <w:rPr>
          <w:rFonts w:cs="Times New Roman"/>
          <w:i/>
          <w:vertAlign w:val="subscript"/>
        </w:rPr>
        <w:t>x</w:t>
      </w:r>
      <w:r>
        <w:rPr>
          <w:rFonts w:cs="Times New Roman"/>
        </w:rPr>
        <w:t xml:space="preserve"> is </w:t>
      </w:r>
      <w:r>
        <w:rPr>
          <w:rFonts w:cs="Times New Roman"/>
          <w:i/>
          <w:iCs/>
        </w:rPr>
        <w:t>ex ante</w:t>
      </w:r>
      <w:r>
        <w:rPr>
          <w:rFonts w:cs="Times New Roman"/>
        </w:rPr>
        <w:t xml:space="preserve"> Pareto superior to</w:t>
      </w:r>
      <w:r w:rsidRPr="00BC6144">
        <w:rPr>
          <w:rFonts w:cs="Times New Roman"/>
          <w:i/>
          <w:vertAlign w:val="subscript"/>
        </w:rPr>
        <w:t xml:space="preserve"> </w:t>
      </w:r>
      <w:r w:rsidRPr="00BC6144">
        <w:rPr>
          <w:rFonts w:cs="Times New Roman"/>
        </w:rPr>
        <w:t>P</w:t>
      </w:r>
      <w:r w:rsidRPr="00BC6144">
        <w:rPr>
          <w:rFonts w:cs="Times New Roman"/>
          <w:i/>
          <w:vertAlign w:val="subscript"/>
        </w:rPr>
        <w:t xml:space="preserve">y </w:t>
      </w:r>
      <w:r>
        <w:rPr>
          <w:rFonts w:cs="Times New Roman"/>
        </w:rPr>
        <w:t xml:space="preserve">relative to D. </w:t>
      </w:r>
    </w:p>
    <w:p w14:paraId="1D153A4E" w14:textId="047CC375" w:rsidR="00690BD0" w:rsidRDefault="00690BD0" w:rsidP="001859AE">
      <w:pPr>
        <w:jc w:val="both"/>
        <w:rPr>
          <w:rFonts w:cs="Times New Roman"/>
        </w:rPr>
      </w:pPr>
      <w:r>
        <w:rPr>
          <w:rFonts w:cs="Times New Roman"/>
        </w:rPr>
        <w:t xml:space="preserve">To see how this works, consider again the case of Penelope, deciding what policy to follow with the dose of medicine. Recall that she considers two policies: </w:t>
      </w:r>
      <w:r>
        <w:rPr>
          <w:rFonts w:cs="Times New Roman"/>
          <w:i/>
          <w:iCs/>
        </w:rPr>
        <w:t>First come first served</w:t>
      </w:r>
      <w:r>
        <w:rPr>
          <w:rFonts w:cs="Times New Roman"/>
        </w:rPr>
        <w:t xml:space="preserve">, and </w:t>
      </w:r>
      <w:r>
        <w:rPr>
          <w:rFonts w:cs="Times New Roman"/>
          <w:i/>
          <w:iCs/>
        </w:rPr>
        <w:t>Split</w:t>
      </w:r>
      <w:r>
        <w:rPr>
          <w:rFonts w:cs="Times New Roman"/>
        </w:rPr>
        <w:t xml:space="preserve">. Under the policy </w:t>
      </w:r>
      <w:r>
        <w:rPr>
          <w:rFonts w:cs="Times New Roman"/>
          <w:i/>
          <w:iCs/>
        </w:rPr>
        <w:t>First come first served</w:t>
      </w:r>
      <w:r>
        <w:rPr>
          <w:rFonts w:cs="Times New Roman"/>
        </w:rPr>
        <w:t xml:space="preserve">, the prospects for both Alice and Belinda are (0.5)(10)+(0.5)(0)=5. Under the policy </w:t>
      </w:r>
      <w:r>
        <w:rPr>
          <w:rFonts w:cs="Times New Roman"/>
          <w:i/>
          <w:iCs/>
        </w:rPr>
        <w:t>Split</w:t>
      </w:r>
      <w:r>
        <w:rPr>
          <w:rFonts w:cs="Times New Roman"/>
        </w:rPr>
        <w:t xml:space="preserve">, the prospects for both Alice and Belinda are (0.5)(4)+(0.5)(4)=4. Thus relative to the set of designators {‘Alice’, ‘Belinda’}, </w:t>
      </w:r>
      <w:r>
        <w:rPr>
          <w:rFonts w:cs="Times New Roman"/>
          <w:i/>
          <w:iCs/>
        </w:rPr>
        <w:t>First come first served</w:t>
      </w:r>
      <w:r>
        <w:rPr>
          <w:rFonts w:cs="Times New Roman"/>
        </w:rPr>
        <w:t xml:space="preserve"> is </w:t>
      </w:r>
      <w:r>
        <w:rPr>
          <w:rFonts w:cs="Times New Roman"/>
          <w:i/>
          <w:iCs/>
        </w:rPr>
        <w:t xml:space="preserve">ex ante </w:t>
      </w:r>
      <w:r>
        <w:rPr>
          <w:rFonts w:cs="Times New Roman"/>
        </w:rPr>
        <w:t xml:space="preserve">Pareto superior to </w:t>
      </w:r>
      <w:r>
        <w:rPr>
          <w:rFonts w:cs="Times New Roman"/>
          <w:i/>
          <w:iCs/>
        </w:rPr>
        <w:t>Split</w:t>
      </w:r>
      <w:r>
        <w:rPr>
          <w:rFonts w:cs="Times New Roman"/>
        </w:rPr>
        <w:t xml:space="preserve">. And because there is </w:t>
      </w:r>
      <w:r>
        <w:rPr>
          <w:rFonts w:cs="Times New Roman"/>
          <w:i/>
          <w:iCs/>
        </w:rPr>
        <w:t>some</w:t>
      </w:r>
      <w:r>
        <w:rPr>
          <w:rFonts w:cs="Times New Roman"/>
        </w:rPr>
        <w:t xml:space="preserve"> set of designators relative to which </w:t>
      </w:r>
      <w:r>
        <w:rPr>
          <w:rFonts w:cs="Times New Roman"/>
          <w:i/>
          <w:iCs/>
        </w:rPr>
        <w:t>First come first served</w:t>
      </w:r>
      <w:r>
        <w:rPr>
          <w:rFonts w:cs="Times New Roman"/>
        </w:rPr>
        <w:t xml:space="preserve"> is </w:t>
      </w:r>
      <w:r>
        <w:rPr>
          <w:rFonts w:cs="Times New Roman"/>
          <w:i/>
          <w:iCs/>
        </w:rPr>
        <w:t xml:space="preserve">ex ante </w:t>
      </w:r>
      <w:r>
        <w:rPr>
          <w:rFonts w:cs="Times New Roman"/>
        </w:rPr>
        <w:t xml:space="preserve">Pareto superior to </w:t>
      </w:r>
      <w:r>
        <w:rPr>
          <w:rFonts w:cs="Times New Roman"/>
          <w:i/>
          <w:iCs/>
        </w:rPr>
        <w:t>Split</w:t>
      </w:r>
      <w:r w:rsidR="00B8773D">
        <w:rPr>
          <w:rFonts w:cs="Times New Roman"/>
        </w:rPr>
        <w:t>,</w:t>
      </w:r>
      <w:r>
        <w:rPr>
          <w:rFonts w:cs="Times New Roman"/>
        </w:rPr>
        <w:t xml:space="preserve"> it </w:t>
      </w:r>
      <w:r>
        <w:rPr>
          <w:rFonts w:cs="Times New Roman"/>
        </w:rPr>
        <w:lastRenderedPageBreak/>
        <w:t xml:space="preserve">follows that it is </w:t>
      </w:r>
      <w:r>
        <w:rPr>
          <w:rFonts w:cs="Times New Roman"/>
          <w:i/>
          <w:iCs/>
        </w:rPr>
        <w:t>ex ante</w:t>
      </w:r>
      <w:r>
        <w:rPr>
          <w:rFonts w:cs="Times New Roman"/>
        </w:rPr>
        <w:t xml:space="preserve"> Pareto superior</w:t>
      </w:r>
      <w:r>
        <w:rPr>
          <w:rFonts w:cs="Times New Roman"/>
          <w:vertAlign w:val="subscript"/>
        </w:rPr>
        <w:t>sub</w:t>
      </w:r>
      <w:r>
        <w:rPr>
          <w:rFonts w:cs="Times New Roman"/>
        </w:rPr>
        <w:t xml:space="preserve">. Relative to another set of designators, {‘Ms Smith’, ‘Ms Jones’}, </w:t>
      </w:r>
      <w:r>
        <w:rPr>
          <w:rFonts w:cs="Times New Roman"/>
          <w:i/>
          <w:iCs/>
        </w:rPr>
        <w:t>First come first served</w:t>
      </w:r>
      <w:r>
        <w:rPr>
          <w:rFonts w:cs="Times New Roman"/>
        </w:rPr>
        <w:t xml:space="preserve"> is not </w:t>
      </w:r>
      <w:r>
        <w:rPr>
          <w:rFonts w:cs="Times New Roman"/>
          <w:i/>
          <w:iCs/>
        </w:rPr>
        <w:t>ex ante</w:t>
      </w:r>
      <w:r>
        <w:rPr>
          <w:rFonts w:cs="Times New Roman"/>
        </w:rPr>
        <w:t xml:space="preserve"> Pareto superior to </w:t>
      </w:r>
      <w:r>
        <w:rPr>
          <w:rFonts w:cs="Times New Roman"/>
          <w:i/>
          <w:iCs/>
        </w:rPr>
        <w:t>Split</w:t>
      </w:r>
      <w:r>
        <w:rPr>
          <w:rFonts w:cs="Times New Roman"/>
        </w:rPr>
        <w:t xml:space="preserve">, but this does not prevent </w:t>
      </w:r>
      <w:r>
        <w:rPr>
          <w:rFonts w:cs="Times New Roman"/>
          <w:i/>
          <w:iCs/>
        </w:rPr>
        <w:t>First come first served</w:t>
      </w:r>
      <w:r>
        <w:rPr>
          <w:rFonts w:cs="Times New Roman"/>
        </w:rPr>
        <w:t xml:space="preserve"> from being </w:t>
      </w:r>
      <w:r>
        <w:rPr>
          <w:rFonts w:cs="Times New Roman"/>
          <w:i/>
          <w:iCs/>
        </w:rPr>
        <w:t xml:space="preserve">ex ante </w:t>
      </w:r>
      <w:r>
        <w:rPr>
          <w:rFonts w:cs="Times New Roman"/>
        </w:rPr>
        <w:t>Pareto superior</w:t>
      </w:r>
      <w:r>
        <w:rPr>
          <w:rFonts w:cs="Times New Roman"/>
          <w:vertAlign w:val="subscript"/>
        </w:rPr>
        <w:t>sub</w:t>
      </w:r>
      <w:r>
        <w:rPr>
          <w:rFonts w:cs="Times New Roman"/>
        </w:rPr>
        <w:t xml:space="preserve"> to </w:t>
      </w:r>
      <w:r>
        <w:rPr>
          <w:rFonts w:cs="Times New Roman"/>
          <w:i/>
          <w:iCs/>
        </w:rPr>
        <w:t>Split</w:t>
      </w:r>
      <w:r>
        <w:rPr>
          <w:rFonts w:cs="Times New Roman"/>
        </w:rPr>
        <w:t xml:space="preserve">, because all that matters it that there is </w:t>
      </w:r>
      <w:r>
        <w:rPr>
          <w:rFonts w:cs="Times New Roman"/>
          <w:i/>
          <w:iCs/>
        </w:rPr>
        <w:t>some</w:t>
      </w:r>
      <w:r>
        <w:rPr>
          <w:rFonts w:cs="Times New Roman"/>
        </w:rPr>
        <w:t xml:space="preserve"> set of designators relative to which the relation holds. </w:t>
      </w:r>
    </w:p>
    <w:p w14:paraId="22E0F0A3" w14:textId="0BAECB2D" w:rsidR="00690BD0" w:rsidRDefault="00690BD0" w:rsidP="001859AE">
      <w:pPr>
        <w:jc w:val="both"/>
        <w:rPr>
          <w:rFonts w:cs="Times New Roman"/>
        </w:rPr>
      </w:pPr>
      <w:r>
        <w:rPr>
          <w:rFonts w:cs="Times New Roman"/>
        </w:rPr>
        <w:t xml:space="preserve">On this way of reading </w:t>
      </w:r>
      <w:r>
        <w:rPr>
          <w:rFonts w:cs="Times New Roman"/>
          <w:i/>
          <w:iCs/>
        </w:rPr>
        <w:t>ex ante</w:t>
      </w:r>
      <w:r>
        <w:rPr>
          <w:rFonts w:cs="Times New Roman"/>
        </w:rPr>
        <w:t xml:space="preserve"> Pareto superiority, the </w:t>
      </w:r>
      <w:r>
        <w:rPr>
          <w:rFonts w:cs="Times New Roman"/>
          <w:i/>
          <w:iCs/>
        </w:rPr>
        <w:t>ex ante</w:t>
      </w:r>
      <w:r>
        <w:rPr>
          <w:rFonts w:cs="Times New Roman"/>
        </w:rPr>
        <w:t xml:space="preserve"> Pareto principle effectively collapses into utilitarianism. This is because in almost all cases:</w:t>
      </w:r>
    </w:p>
    <w:p w14:paraId="4B857C35" w14:textId="00DFA32C" w:rsidR="00690BD0" w:rsidRPr="00FE537A" w:rsidRDefault="00690BD0" w:rsidP="00D922AB">
      <w:pPr>
        <w:jc w:val="center"/>
        <w:rPr>
          <w:rFonts w:cs="Times New Roman"/>
          <w:vertAlign w:val="subscript"/>
        </w:rPr>
      </w:pPr>
      <w:r>
        <w:rPr>
          <w:rFonts w:cs="Times New Roman"/>
        </w:rPr>
        <w:t>Policy P</w:t>
      </w:r>
      <w:r>
        <w:rPr>
          <w:rFonts w:cs="Times New Roman"/>
          <w:i/>
          <w:iCs/>
          <w:vertAlign w:val="subscript"/>
        </w:rPr>
        <w:t>x</w:t>
      </w:r>
      <w:r>
        <w:rPr>
          <w:rFonts w:cs="Times New Roman"/>
        </w:rPr>
        <w:t xml:space="preserve"> is </w:t>
      </w:r>
      <w:r>
        <w:rPr>
          <w:rFonts w:cs="Times New Roman"/>
          <w:i/>
          <w:iCs/>
        </w:rPr>
        <w:t xml:space="preserve">ex ante </w:t>
      </w:r>
      <w:r>
        <w:rPr>
          <w:rFonts w:cs="Times New Roman"/>
        </w:rPr>
        <w:t>Pareto superior</w:t>
      </w:r>
      <w:r>
        <w:rPr>
          <w:rFonts w:cs="Times New Roman"/>
          <w:vertAlign w:val="subscript"/>
        </w:rPr>
        <w:t>sub</w:t>
      </w:r>
      <w:r>
        <w:rPr>
          <w:rFonts w:cs="Times New Roman"/>
        </w:rPr>
        <w:t xml:space="preserve"> to policy P</w:t>
      </w:r>
      <w:r>
        <w:rPr>
          <w:rFonts w:cs="Times New Roman"/>
          <w:i/>
          <w:iCs/>
          <w:vertAlign w:val="subscript"/>
        </w:rPr>
        <w:t>y</w:t>
      </w:r>
    </w:p>
    <w:p w14:paraId="2E325562" w14:textId="205CF36A" w:rsidR="00690BD0" w:rsidRDefault="00690BD0" w:rsidP="00D922AB">
      <w:pPr>
        <w:jc w:val="center"/>
        <w:rPr>
          <w:rFonts w:cs="Times New Roman"/>
        </w:rPr>
      </w:pPr>
      <w:r>
        <w:rPr>
          <w:rFonts w:cs="Times New Roman"/>
        </w:rPr>
        <w:t>iff</w:t>
      </w:r>
    </w:p>
    <w:p w14:paraId="4F909FFC" w14:textId="13F54A86" w:rsidR="00690BD0" w:rsidRPr="00FE537A" w:rsidRDefault="00690BD0" w:rsidP="00D922AB">
      <w:pPr>
        <w:jc w:val="center"/>
        <w:rPr>
          <w:rFonts w:cs="Times New Roman"/>
          <w:i/>
          <w:iCs/>
          <w:vertAlign w:val="subscript"/>
        </w:rPr>
      </w:pPr>
      <w:r>
        <w:rPr>
          <w:rFonts w:cs="Times New Roman"/>
        </w:rPr>
        <w:t>The total prospects under Policy P</w:t>
      </w:r>
      <w:r w:rsidRPr="00AB2931">
        <w:rPr>
          <w:rFonts w:cs="Times New Roman"/>
          <w:i/>
          <w:vertAlign w:val="subscript"/>
        </w:rPr>
        <w:t>X</w:t>
      </w:r>
      <w:r>
        <w:rPr>
          <w:rFonts w:cs="Times New Roman"/>
        </w:rPr>
        <w:t xml:space="preserve"> are greater than the total prospects under P</w:t>
      </w:r>
      <w:r>
        <w:rPr>
          <w:rFonts w:cs="Times New Roman"/>
          <w:i/>
          <w:iCs/>
          <w:vertAlign w:val="subscript"/>
        </w:rPr>
        <w:t>y</w:t>
      </w:r>
    </w:p>
    <w:p w14:paraId="524761D4" w14:textId="7B080C00" w:rsidR="00690BD0" w:rsidRDefault="00690BD0" w:rsidP="001859AE">
      <w:pPr>
        <w:jc w:val="both"/>
        <w:rPr>
          <w:rFonts w:cs="Times New Roman"/>
        </w:rPr>
      </w:pPr>
      <w:r>
        <w:rPr>
          <w:rFonts w:cs="Times New Roman"/>
        </w:rPr>
        <w:t>To see that this holds, consider first that the first claim entails the second. If P</w:t>
      </w:r>
      <w:r w:rsidRPr="00AB2931">
        <w:rPr>
          <w:rFonts w:cs="Times New Roman"/>
          <w:i/>
          <w:iCs/>
          <w:vertAlign w:val="subscript"/>
        </w:rPr>
        <w:t>x</w:t>
      </w:r>
      <w:r>
        <w:rPr>
          <w:rFonts w:cs="Times New Roman"/>
        </w:rPr>
        <w:t xml:space="preserve"> is </w:t>
      </w:r>
      <w:r>
        <w:rPr>
          <w:rFonts w:cs="Times New Roman"/>
          <w:i/>
          <w:iCs/>
        </w:rPr>
        <w:t>ex ante</w:t>
      </w:r>
      <w:r>
        <w:rPr>
          <w:rFonts w:cs="Times New Roman"/>
        </w:rPr>
        <w:t xml:space="preserve"> Pareto superior</w:t>
      </w:r>
      <w:r>
        <w:rPr>
          <w:rFonts w:cs="Times New Roman"/>
          <w:vertAlign w:val="subscript"/>
        </w:rPr>
        <w:t>sub</w:t>
      </w:r>
      <w:r>
        <w:rPr>
          <w:rFonts w:cs="Times New Roman"/>
        </w:rPr>
        <w:t xml:space="preserve"> to policy P</w:t>
      </w:r>
      <w:r>
        <w:rPr>
          <w:rFonts w:cs="Times New Roman"/>
          <w:i/>
          <w:iCs/>
          <w:vertAlign w:val="subscript"/>
        </w:rPr>
        <w:t>y</w:t>
      </w:r>
      <w:r>
        <w:rPr>
          <w:rFonts w:cs="Times New Roman"/>
          <w:vertAlign w:val="subscript"/>
        </w:rPr>
        <w:softHyphen/>
      </w:r>
      <w:r>
        <w:rPr>
          <w:rFonts w:cs="Times New Roman"/>
        </w:rPr>
        <w:t>, then there must be some set of designators D relative to which P</w:t>
      </w:r>
      <w:r>
        <w:rPr>
          <w:rFonts w:cs="Times New Roman"/>
          <w:i/>
          <w:iCs/>
          <w:vertAlign w:val="subscript"/>
        </w:rPr>
        <w:t>x</w:t>
      </w:r>
      <w:r>
        <w:rPr>
          <w:rFonts w:cs="Times New Roman"/>
        </w:rPr>
        <w:t xml:space="preserve"> is </w:t>
      </w:r>
      <w:r>
        <w:rPr>
          <w:rFonts w:cs="Times New Roman"/>
          <w:i/>
          <w:iCs/>
        </w:rPr>
        <w:t>ex ante</w:t>
      </w:r>
      <w:r>
        <w:rPr>
          <w:rFonts w:cs="Times New Roman"/>
        </w:rPr>
        <w:t xml:space="preserve"> Pareto superior to P</w:t>
      </w:r>
      <w:r>
        <w:rPr>
          <w:rFonts w:cs="Times New Roman"/>
          <w:i/>
          <w:iCs/>
          <w:vertAlign w:val="subscript"/>
        </w:rPr>
        <w:t>y</w:t>
      </w:r>
      <w:r>
        <w:rPr>
          <w:rFonts w:cs="Times New Roman"/>
        </w:rPr>
        <w:t>. The prospects for each designator in D under P</w:t>
      </w:r>
      <w:r>
        <w:rPr>
          <w:rFonts w:cs="Times New Roman"/>
          <w:i/>
          <w:iCs/>
          <w:vertAlign w:val="subscript"/>
        </w:rPr>
        <w:t>x</w:t>
      </w:r>
      <w:r>
        <w:rPr>
          <w:rFonts w:cs="Times New Roman"/>
        </w:rPr>
        <w:t xml:space="preserve"> must be at least as great as the prospects for each designator in D under P</w:t>
      </w:r>
      <w:r>
        <w:rPr>
          <w:rFonts w:cs="Times New Roman"/>
          <w:i/>
          <w:iCs/>
          <w:vertAlign w:val="subscript"/>
        </w:rPr>
        <w:t>y</w:t>
      </w:r>
      <w:r>
        <w:rPr>
          <w:rFonts w:cs="Times New Roman"/>
        </w:rPr>
        <w:t>, and for some designator in D the prospects under P</w:t>
      </w:r>
      <w:r>
        <w:rPr>
          <w:rFonts w:cs="Times New Roman"/>
          <w:i/>
          <w:iCs/>
          <w:vertAlign w:val="subscript"/>
        </w:rPr>
        <w:t>x</w:t>
      </w:r>
      <w:r>
        <w:rPr>
          <w:rFonts w:cs="Times New Roman"/>
        </w:rPr>
        <w:t xml:space="preserve"> must be better than the prospects under P</w:t>
      </w:r>
      <w:r>
        <w:rPr>
          <w:rFonts w:cs="Times New Roman"/>
          <w:i/>
          <w:iCs/>
          <w:vertAlign w:val="subscript"/>
        </w:rPr>
        <w:t>y</w:t>
      </w:r>
      <w:r>
        <w:rPr>
          <w:rFonts w:cs="Times New Roman"/>
        </w:rPr>
        <w:t>. Thus the total prospects for the designators in D must be greater under P</w:t>
      </w:r>
      <w:r>
        <w:rPr>
          <w:rFonts w:cs="Times New Roman"/>
          <w:i/>
          <w:iCs/>
          <w:vertAlign w:val="subscript"/>
        </w:rPr>
        <w:t>x</w:t>
      </w:r>
      <w:r>
        <w:rPr>
          <w:rFonts w:cs="Times New Roman"/>
        </w:rPr>
        <w:t xml:space="preserve"> than under P</w:t>
      </w:r>
      <w:r>
        <w:rPr>
          <w:rFonts w:cs="Times New Roman"/>
          <w:i/>
          <w:iCs/>
          <w:vertAlign w:val="subscript"/>
        </w:rPr>
        <w:t>y</w:t>
      </w:r>
      <w:r>
        <w:rPr>
          <w:rFonts w:cs="Times New Roman"/>
        </w:rPr>
        <w:t>. The total prospects under a policy for a fixed population is the same under any admissible set of designators, so we can say simply that if policy P</w:t>
      </w:r>
      <w:r>
        <w:rPr>
          <w:rFonts w:cs="Times New Roman"/>
          <w:i/>
          <w:iCs/>
          <w:vertAlign w:val="subscript"/>
        </w:rPr>
        <w:t>x</w:t>
      </w:r>
      <w:r>
        <w:rPr>
          <w:rFonts w:cs="Times New Roman"/>
        </w:rPr>
        <w:t xml:space="preserve"> is </w:t>
      </w:r>
      <w:r>
        <w:rPr>
          <w:rFonts w:cs="Times New Roman"/>
          <w:i/>
          <w:iCs/>
        </w:rPr>
        <w:t>ex ante</w:t>
      </w:r>
      <w:r>
        <w:rPr>
          <w:rFonts w:cs="Times New Roman"/>
        </w:rPr>
        <w:t xml:space="preserve"> Pareto superior</w:t>
      </w:r>
      <w:r>
        <w:rPr>
          <w:rFonts w:cs="Times New Roman"/>
          <w:vertAlign w:val="subscript"/>
        </w:rPr>
        <w:t>sub</w:t>
      </w:r>
      <w:r>
        <w:rPr>
          <w:rFonts w:cs="Times New Roman"/>
        </w:rPr>
        <w:t xml:space="preserve"> to policy P</w:t>
      </w:r>
      <w:r>
        <w:rPr>
          <w:rFonts w:cs="Times New Roman"/>
          <w:i/>
          <w:iCs/>
          <w:vertAlign w:val="subscript"/>
        </w:rPr>
        <w:t>y</w:t>
      </w:r>
      <w:r>
        <w:rPr>
          <w:rFonts w:cs="Times New Roman"/>
          <w:vertAlign w:val="subscript"/>
        </w:rPr>
        <w:softHyphen/>
      </w:r>
      <w:r>
        <w:rPr>
          <w:rFonts w:cs="Times New Roman"/>
          <w:vertAlign w:val="subscript"/>
        </w:rPr>
        <w:softHyphen/>
      </w:r>
      <w:r>
        <w:rPr>
          <w:rFonts w:cs="Times New Roman"/>
        </w:rPr>
        <w:t>, then the total prospects under P</w:t>
      </w:r>
      <w:r>
        <w:rPr>
          <w:rFonts w:cs="Times New Roman"/>
          <w:i/>
          <w:iCs/>
          <w:vertAlign w:val="subscript"/>
        </w:rPr>
        <w:t>x</w:t>
      </w:r>
      <w:r>
        <w:rPr>
          <w:rFonts w:cs="Times New Roman"/>
        </w:rPr>
        <w:t xml:space="preserve"> are greater than the total prospects under P</w:t>
      </w:r>
      <w:r>
        <w:rPr>
          <w:rFonts w:cs="Times New Roman"/>
          <w:i/>
          <w:iCs/>
          <w:vertAlign w:val="subscript"/>
        </w:rPr>
        <w:t>y</w:t>
      </w:r>
      <w:r>
        <w:rPr>
          <w:rFonts w:cs="Times New Roman"/>
          <w:i/>
          <w:iCs/>
        </w:rPr>
        <w:t>.</w:t>
      </w:r>
    </w:p>
    <w:p w14:paraId="602090F2" w14:textId="53F35151" w:rsidR="00690BD0" w:rsidRDefault="00690BD0" w:rsidP="001859AE">
      <w:pPr>
        <w:jc w:val="both"/>
        <w:rPr>
          <w:rFonts w:cs="Times New Roman"/>
        </w:rPr>
      </w:pPr>
      <w:r>
        <w:rPr>
          <w:rFonts w:cs="Times New Roman"/>
        </w:rPr>
        <w:t>To show that the second claim entails the first, we need to start by making the assumption that the decision-maker has uncertainty across some partition with the following features:</w:t>
      </w:r>
    </w:p>
    <w:p w14:paraId="66000899" w14:textId="77777777" w:rsidR="00690BD0" w:rsidRDefault="00690BD0" w:rsidP="001859AE">
      <w:pPr>
        <w:pStyle w:val="ListParagraph"/>
        <w:numPr>
          <w:ilvl w:val="0"/>
          <w:numId w:val="22"/>
        </w:numPr>
        <w:jc w:val="both"/>
        <w:rPr>
          <w:rFonts w:cs="Times New Roman"/>
        </w:rPr>
      </w:pPr>
      <w:r>
        <w:rPr>
          <w:rFonts w:cs="Times New Roman"/>
        </w:rPr>
        <w:lastRenderedPageBreak/>
        <w:t xml:space="preserve">The number of events in the partition is the same as the number of people in the population. </w:t>
      </w:r>
    </w:p>
    <w:p w14:paraId="6AE3AF3E" w14:textId="26B2ABCE" w:rsidR="00690BD0" w:rsidRDefault="00690BD0" w:rsidP="001859AE">
      <w:pPr>
        <w:pStyle w:val="ListParagraph"/>
        <w:numPr>
          <w:ilvl w:val="0"/>
          <w:numId w:val="22"/>
        </w:numPr>
        <w:jc w:val="both"/>
        <w:rPr>
          <w:rFonts w:cs="Times New Roman"/>
        </w:rPr>
      </w:pPr>
      <w:r>
        <w:rPr>
          <w:rFonts w:cs="Times New Roman"/>
        </w:rPr>
        <w:t xml:space="preserve">The decision-maker’s credence is distributed equally across the events in the partition. </w:t>
      </w:r>
    </w:p>
    <w:p w14:paraId="7B1B2468" w14:textId="7B928A1C" w:rsidR="00690BD0" w:rsidRDefault="00690BD0" w:rsidP="001859AE">
      <w:pPr>
        <w:pStyle w:val="ListParagraph"/>
        <w:numPr>
          <w:ilvl w:val="0"/>
          <w:numId w:val="22"/>
        </w:numPr>
        <w:jc w:val="both"/>
        <w:rPr>
          <w:rFonts w:cs="Times New Roman"/>
        </w:rPr>
      </w:pPr>
      <w:r>
        <w:rPr>
          <w:rFonts w:cs="Times New Roman"/>
        </w:rPr>
        <w:t>For some admissible set of designators D, the distribution of welfare across these designators is the same at each event in this partition.</w:t>
      </w:r>
    </w:p>
    <w:p w14:paraId="110EEE34" w14:textId="6FD90F53" w:rsidR="00690BD0" w:rsidRDefault="00690BD0" w:rsidP="001859AE">
      <w:pPr>
        <w:jc w:val="both"/>
        <w:rPr>
          <w:rFonts w:cs="Times New Roman"/>
        </w:rPr>
      </w:pPr>
      <w:r>
        <w:rPr>
          <w:rFonts w:cs="Times New Roman"/>
        </w:rPr>
        <w:t>Provided that these conditions are met (as they will be in nearly all policy choice situations)</w:t>
      </w:r>
      <w:r w:rsidR="000168CE">
        <w:rPr>
          <w:rStyle w:val="FootnoteReference"/>
          <w:rFonts w:cs="Times New Roman"/>
        </w:rPr>
        <w:footnoteReference w:id="10"/>
      </w:r>
      <w:r w:rsidR="000168CE">
        <w:rPr>
          <w:rFonts w:cs="Times New Roman"/>
        </w:rPr>
        <w:t>,</w:t>
      </w:r>
      <w:r>
        <w:rPr>
          <w:rFonts w:cs="Times New Roman"/>
        </w:rPr>
        <w:t xml:space="preserve"> then there will be an admissible set of designators across which the total prospects will be evenly distributed. I illustrate this with an example. </w:t>
      </w:r>
    </w:p>
    <w:p w14:paraId="12D3BDCD" w14:textId="1C165D4F" w:rsidR="00690BD0" w:rsidRDefault="00690BD0" w:rsidP="001859AE">
      <w:pPr>
        <w:jc w:val="both"/>
      </w:pPr>
      <w:r>
        <w:rPr>
          <w:rFonts w:cs="Times New Roman"/>
        </w:rPr>
        <w:t xml:space="preserve">We can suppose that the fixed population contains 6 people, and one admissible set of designators is {‘A’, ‘B’, ‘C’, ‘D’, ‘E’, ‘F’}. Perhaps under some policy, the total welfare is distributed in some uneven pattern amongst these designators, with A getting 6, B getting 2, and each of C-F each getting 1. Now we suppose that – quite unrelatedly – a dice has </w:t>
      </w:r>
      <w:r>
        <w:rPr>
          <w:rFonts w:cs="Times New Roman"/>
        </w:rPr>
        <w:lastRenderedPageBreak/>
        <w:t>been tossed, without the decision-maker knowing the outcome. Thus we have the partition of events {1, 2, 3, 4, 5, 6} which meets the requirements above: there are 6 events and a population of 6; the decision-maker takes each event to be equally likely; the distribution of prospects amongst the designators {‘A’, ‘B’, ‘C’, ‘D’, ‘E’, ‘F’} is independent of the events in this partition – so for example under the supposition that the die lands on 3 it is still the case that the prospects for A are 6, the prospects for B are 2 and so on. We can now coin the predicates ‘G’, ‘G*’ and so on, where to be G is to be A if the die lands on 1, B if the dice lands on 2, and so on; and to be G* is to be B if the die lands on 1, C if the die lands on 2, and so on. This gives us an admissible set of designators {‘the G’, ‘the G*’…}. The prospects for the G can then be calculated by summing the prospects for A–F, weighted by the credence that the G is identical to each of A–F. Thus for example, the prospects for A (6) will be weighted by the credence that the G is identical to the A (1/6); and the prospects for B (2) will be weighted by the credence that the G is identical to the B (1/6); and so on. The prospects for the G work out at (6+2+1+1+1+1)/6 = 2 which of course is 1/6 of the total prospects. The prospects for the G* and so on can be calculated in a similar way. Thus the total prospects are distributed evenly amongst the designators in {‘the G’, ‘the G*’…}. If the total prospects under some policy P</w:t>
      </w:r>
      <w:r>
        <w:rPr>
          <w:rFonts w:cs="Times New Roman"/>
          <w:i/>
          <w:iCs/>
          <w:vertAlign w:val="subscript"/>
        </w:rPr>
        <w:t>x</w:t>
      </w:r>
      <w:r>
        <w:rPr>
          <w:rFonts w:cs="Times New Roman"/>
        </w:rPr>
        <w:t xml:space="preserve"> are greater than the total prospects under some policy P</w:t>
      </w:r>
      <w:r>
        <w:rPr>
          <w:rFonts w:cs="Times New Roman"/>
          <w:i/>
          <w:iCs/>
          <w:vertAlign w:val="subscript"/>
        </w:rPr>
        <w:t>y</w:t>
      </w:r>
      <w:r>
        <w:rPr>
          <w:rFonts w:cs="Times New Roman"/>
        </w:rPr>
        <w:t>, then every member of {‘the G’, ‘the G*’…} will have better prospects under P</w:t>
      </w:r>
      <w:r>
        <w:rPr>
          <w:rFonts w:cs="Times New Roman"/>
          <w:i/>
          <w:iCs/>
          <w:vertAlign w:val="subscript"/>
        </w:rPr>
        <w:t>x</w:t>
      </w:r>
      <w:r>
        <w:rPr>
          <w:rFonts w:cs="Times New Roman"/>
        </w:rPr>
        <w:t xml:space="preserve"> than under P</w:t>
      </w:r>
      <w:r>
        <w:rPr>
          <w:rFonts w:cs="Times New Roman"/>
          <w:i/>
          <w:iCs/>
          <w:vertAlign w:val="subscript"/>
        </w:rPr>
        <w:t>y</w:t>
      </w:r>
      <w:r>
        <w:rPr>
          <w:rFonts w:cs="Times New Roman"/>
        </w:rPr>
        <w:t>, and so P</w:t>
      </w:r>
      <w:r>
        <w:rPr>
          <w:rFonts w:cs="Times New Roman"/>
          <w:i/>
          <w:iCs/>
          <w:vertAlign w:val="subscript"/>
        </w:rPr>
        <w:t>x</w:t>
      </w:r>
      <w:r>
        <w:rPr>
          <w:rFonts w:cs="Times New Roman"/>
        </w:rPr>
        <w:t xml:space="preserve"> will be </w:t>
      </w:r>
      <w:r>
        <w:rPr>
          <w:rFonts w:cs="Times New Roman"/>
          <w:i/>
          <w:iCs/>
        </w:rPr>
        <w:t>ex ante</w:t>
      </w:r>
      <w:r>
        <w:rPr>
          <w:rFonts w:cs="Times New Roman"/>
        </w:rPr>
        <w:t xml:space="preserve"> Pareto superior to P</w:t>
      </w:r>
      <w:r>
        <w:rPr>
          <w:rFonts w:cs="Times New Roman"/>
          <w:i/>
          <w:iCs/>
          <w:vertAlign w:val="subscript"/>
        </w:rPr>
        <w:t>y</w:t>
      </w:r>
      <w:r>
        <w:rPr>
          <w:rFonts w:cs="Times New Roman"/>
        </w:rPr>
        <w:t xml:space="preserve"> relative to this set of designators. And given that P</w:t>
      </w:r>
      <w:r>
        <w:rPr>
          <w:rFonts w:cs="Times New Roman"/>
          <w:i/>
          <w:iCs/>
          <w:vertAlign w:val="subscript"/>
        </w:rPr>
        <w:t>x</w:t>
      </w:r>
      <w:r>
        <w:rPr>
          <w:rFonts w:cs="Times New Roman"/>
        </w:rPr>
        <w:t xml:space="preserve"> is </w:t>
      </w:r>
      <w:r>
        <w:rPr>
          <w:rFonts w:cs="Times New Roman"/>
          <w:i/>
          <w:iCs/>
        </w:rPr>
        <w:t>ex ante</w:t>
      </w:r>
      <w:r>
        <w:rPr>
          <w:rFonts w:cs="Times New Roman"/>
        </w:rPr>
        <w:t xml:space="preserve"> Pareto superior to P</w:t>
      </w:r>
      <w:r>
        <w:rPr>
          <w:rFonts w:cs="Times New Roman"/>
          <w:i/>
          <w:iCs/>
          <w:vertAlign w:val="subscript"/>
        </w:rPr>
        <w:t>y</w:t>
      </w:r>
      <w:r>
        <w:t xml:space="preserve"> under </w:t>
      </w:r>
      <w:r>
        <w:rPr>
          <w:i/>
          <w:iCs/>
        </w:rPr>
        <w:t xml:space="preserve">some </w:t>
      </w:r>
      <w:r>
        <w:t xml:space="preserve">admissible set of designators, it is </w:t>
      </w:r>
      <w:r>
        <w:rPr>
          <w:i/>
          <w:iCs/>
        </w:rPr>
        <w:t>ex ante</w:t>
      </w:r>
      <w:r>
        <w:t xml:space="preserve"> Pareto superior</w:t>
      </w:r>
      <w:r>
        <w:rPr>
          <w:vertAlign w:val="subscript"/>
        </w:rPr>
        <w:t>sub</w:t>
      </w:r>
      <w:r>
        <w:t xml:space="preserve">. </w:t>
      </w:r>
    </w:p>
    <w:p w14:paraId="1C5FB9BA" w14:textId="242D23DD" w:rsidR="00690BD0" w:rsidRPr="00D23171" w:rsidRDefault="00690BD0" w:rsidP="001859AE">
      <w:pPr>
        <w:jc w:val="both"/>
        <w:rPr>
          <w:rFonts w:cs="Times New Roman"/>
        </w:rPr>
      </w:pPr>
      <w:r>
        <w:t xml:space="preserve">Thus </w:t>
      </w:r>
      <w:r>
        <w:rPr>
          <w:rFonts w:cs="Times New Roman"/>
        </w:rPr>
        <w:t>Policy P</w:t>
      </w:r>
      <w:r>
        <w:rPr>
          <w:rFonts w:cs="Times New Roman"/>
          <w:i/>
          <w:iCs/>
          <w:vertAlign w:val="subscript"/>
        </w:rPr>
        <w:t>x</w:t>
      </w:r>
      <w:r>
        <w:rPr>
          <w:rFonts w:cs="Times New Roman"/>
        </w:rPr>
        <w:t xml:space="preserve"> is </w:t>
      </w:r>
      <w:r>
        <w:rPr>
          <w:rFonts w:cs="Times New Roman"/>
          <w:i/>
          <w:iCs/>
        </w:rPr>
        <w:t xml:space="preserve">ex ante </w:t>
      </w:r>
      <w:r>
        <w:rPr>
          <w:rFonts w:cs="Times New Roman"/>
        </w:rPr>
        <w:t>Pareto superior</w:t>
      </w:r>
      <w:r>
        <w:rPr>
          <w:rFonts w:cs="Times New Roman"/>
          <w:vertAlign w:val="subscript"/>
        </w:rPr>
        <w:t>sub</w:t>
      </w:r>
      <w:r>
        <w:rPr>
          <w:rFonts w:cs="Times New Roman"/>
        </w:rPr>
        <w:t xml:space="preserve"> to policy P</w:t>
      </w:r>
      <w:r>
        <w:rPr>
          <w:rFonts w:cs="Times New Roman"/>
          <w:i/>
          <w:iCs/>
          <w:vertAlign w:val="subscript"/>
        </w:rPr>
        <w:t>y</w:t>
      </w:r>
      <w:r>
        <w:rPr>
          <w:rFonts w:cs="Times New Roman"/>
        </w:rPr>
        <w:t xml:space="preserve"> iff the total prospects under Policy P</w:t>
      </w:r>
      <w:r>
        <w:rPr>
          <w:rFonts w:cs="Times New Roman"/>
          <w:i/>
          <w:vertAlign w:val="subscript"/>
        </w:rPr>
        <w:t>x</w:t>
      </w:r>
      <w:r>
        <w:rPr>
          <w:rFonts w:cs="Times New Roman"/>
        </w:rPr>
        <w:t xml:space="preserve"> are greater than the total prospects under P</w:t>
      </w:r>
      <w:r>
        <w:rPr>
          <w:rFonts w:cs="Times New Roman"/>
          <w:i/>
          <w:iCs/>
          <w:vertAlign w:val="subscript"/>
        </w:rPr>
        <w:t>y</w:t>
      </w:r>
      <w:r>
        <w:rPr>
          <w:rFonts w:cs="Times New Roman"/>
        </w:rPr>
        <w:t xml:space="preserve">. The </w:t>
      </w:r>
      <w:r>
        <w:rPr>
          <w:rFonts w:cs="Times New Roman"/>
          <w:i/>
          <w:iCs/>
        </w:rPr>
        <w:t>ex ante</w:t>
      </w:r>
      <w:r>
        <w:rPr>
          <w:rFonts w:cs="Times New Roman"/>
        </w:rPr>
        <w:t xml:space="preserve"> Pareto principle</w:t>
      </w:r>
      <w:r>
        <w:rPr>
          <w:rFonts w:cs="Times New Roman"/>
          <w:vertAlign w:val="subscript"/>
        </w:rPr>
        <w:t>sub</w:t>
      </w:r>
      <w:r>
        <w:rPr>
          <w:rFonts w:cs="Times New Roman"/>
        </w:rPr>
        <w:t xml:space="preserve"> is thus equivalent to utilitarianism: to say that you must not choose some policy P</w:t>
      </w:r>
      <w:r>
        <w:rPr>
          <w:rFonts w:cs="Times New Roman"/>
          <w:i/>
          <w:vertAlign w:val="subscript"/>
        </w:rPr>
        <w:t>x</w:t>
      </w:r>
      <w:r>
        <w:rPr>
          <w:rFonts w:cs="Times New Roman"/>
        </w:rPr>
        <w:t xml:space="preserve"> if some other available policy P</w:t>
      </w:r>
      <w:r>
        <w:rPr>
          <w:rFonts w:cs="Times New Roman"/>
          <w:i/>
          <w:vertAlign w:val="subscript"/>
        </w:rPr>
        <w:t>y</w:t>
      </w:r>
      <w:r>
        <w:rPr>
          <w:rFonts w:cs="Times New Roman"/>
        </w:rPr>
        <w:t xml:space="preserve"> is </w:t>
      </w:r>
      <w:r>
        <w:rPr>
          <w:rFonts w:cs="Times New Roman"/>
          <w:i/>
        </w:rPr>
        <w:t>ex ante</w:t>
      </w:r>
      <w:r>
        <w:rPr>
          <w:rFonts w:cs="Times New Roman"/>
        </w:rPr>
        <w:t xml:space="preserve"> Pareto superior</w:t>
      </w:r>
      <w:r>
        <w:rPr>
          <w:rFonts w:cs="Times New Roman"/>
          <w:vertAlign w:val="subscript"/>
        </w:rPr>
        <w:t>sub</w:t>
      </w:r>
      <w:r>
        <w:rPr>
          <w:rFonts w:cs="Times New Roman"/>
        </w:rPr>
        <w:t>, is just to say that you must not choose P</w:t>
      </w:r>
      <w:r>
        <w:rPr>
          <w:rFonts w:cs="Times New Roman"/>
          <w:i/>
          <w:vertAlign w:val="subscript"/>
        </w:rPr>
        <w:t>x</w:t>
      </w:r>
      <w:r>
        <w:rPr>
          <w:rFonts w:cs="Times New Roman"/>
        </w:rPr>
        <w:t xml:space="preserve"> </w:t>
      </w:r>
      <w:r>
        <w:rPr>
          <w:rFonts w:cs="Times New Roman"/>
        </w:rPr>
        <w:lastRenderedPageBreak/>
        <w:t>if some other policy P</w:t>
      </w:r>
      <w:r>
        <w:rPr>
          <w:rFonts w:cs="Times New Roman"/>
          <w:i/>
          <w:vertAlign w:val="subscript"/>
        </w:rPr>
        <w:t>y</w:t>
      </w:r>
      <w:r>
        <w:rPr>
          <w:rFonts w:cs="Times New Roman"/>
        </w:rPr>
        <w:t xml:space="preserve"> has greater total prospects. On this reading, the </w:t>
      </w:r>
      <w:r>
        <w:rPr>
          <w:rFonts w:cs="Times New Roman"/>
          <w:i/>
          <w:iCs/>
        </w:rPr>
        <w:t>ex ante</w:t>
      </w:r>
      <w:r>
        <w:rPr>
          <w:rFonts w:cs="Times New Roman"/>
        </w:rPr>
        <w:t xml:space="preserve"> Pareto principle</w:t>
      </w:r>
      <w:r>
        <w:rPr>
          <w:rFonts w:cs="Times New Roman"/>
          <w:vertAlign w:val="subscript"/>
        </w:rPr>
        <w:t>sub</w:t>
      </w:r>
      <w:r>
        <w:rPr>
          <w:rFonts w:cs="Times New Roman"/>
        </w:rPr>
        <w:t xml:space="preserve"> is not concerned in any way with the distribution of prospects, but only with the total sum.</w:t>
      </w:r>
    </w:p>
    <w:p w14:paraId="48B15DF6" w14:textId="63CE9EE8" w:rsidR="00690BD0" w:rsidRDefault="00690BD0" w:rsidP="001859AE">
      <w:pPr>
        <w:jc w:val="both"/>
        <w:rPr>
          <w:rFonts w:cs="Times New Roman"/>
        </w:rPr>
      </w:pPr>
      <w:r>
        <w:rPr>
          <w:rFonts w:cs="Times New Roman"/>
        </w:rPr>
        <w:t>This argument has some relation to one of John Harsanyi’s argument for utilitarianism.</w:t>
      </w:r>
      <w:r w:rsidR="00911C28">
        <w:rPr>
          <w:rStyle w:val="FootnoteReference"/>
          <w:rFonts w:cs="Times New Roman"/>
        </w:rPr>
        <w:footnoteReference w:id="11"/>
      </w:r>
      <w:r>
        <w:rPr>
          <w:rFonts w:cs="Times New Roman"/>
        </w:rPr>
        <w:t xml:space="preserve"> According to Harsanyi, our ‘moral preferences’ are our preferences that are ‘impartial’ and ‘impersonal’. He writes:</w:t>
      </w:r>
    </w:p>
    <w:p w14:paraId="3C90C0C6" w14:textId="18E81154" w:rsidR="00532F3C" w:rsidRDefault="00690BD0" w:rsidP="00122864">
      <w:pPr>
        <w:ind w:left="720"/>
        <w:jc w:val="both"/>
        <w:rPr>
          <w:rFonts w:cs="Times New Roman"/>
        </w:rPr>
      </w:pPr>
      <w:r>
        <w:rPr>
          <w:rFonts w:cs="Times New Roman"/>
        </w:rPr>
        <w:t xml:space="preserve">“Individual </w:t>
      </w:r>
      <w:r>
        <w:rPr>
          <w:rFonts w:cs="Times New Roman"/>
          <w:i/>
          <w:iCs/>
        </w:rPr>
        <w:t>I</w:t>
      </w:r>
      <w:r>
        <w:rPr>
          <w:rFonts w:cs="Times New Roman"/>
        </w:rPr>
        <w:t xml:space="preserve">’s choice among alternative social situations would certainly satisfy this requirement of impartiality and impersonality, if he… thought he would have an </w:t>
      </w:r>
      <w:r>
        <w:rPr>
          <w:rFonts w:cs="Times New Roman"/>
          <w:i/>
          <w:iCs/>
        </w:rPr>
        <w:t>equal probability</w:t>
      </w:r>
      <w:r>
        <w:rPr>
          <w:rFonts w:cs="Times New Roman"/>
        </w:rPr>
        <w:t xml:space="preserve"> of being </w:t>
      </w:r>
      <w:r>
        <w:rPr>
          <w:rFonts w:cs="Times New Roman"/>
          <w:i/>
          <w:iCs/>
        </w:rPr>
        <w:t>put in the place</w:t>
      </w:r>
      <w:r>
        <w:rPr>
          <w:rFonts w:cs="Times New Roman"/>
        </w:rPr>
        <w:t xml:space="preserve"> of any one among the </w:t>
      </w:r>
      <w:r>
        <w:rPr>
          <w:rFonts w:cs="Times New Roman"/>
          <w:i/>
          <w:iCs/>
        </w:rPr>
        <w:t>n</w:t>
      </w:r>
      <w:r>
        <w:rPr>
          <w:rFonts w:cs="Times New Roman"/>
        </w:rPr>
        <w:t xml:space="preserve"> individual members of society”</w:t>
      </w:r>
      <w:sdt>
        <w:sdtPr>
          <w:rPr>
            <w:rFonts w:cs="Times New Roman"/>
          </w:rPr>
          <w:id w:val="-821578477"/>
          <w:citation/>
        </w:sdtPr>
        <w:sdtContent>
          <w:r w:rsidR="00532F3C">
            <w:rPr>
              <w:rFonts w:cs="Times New Roman"/>
            </w:rPr>
            <w:fldChar w:fldCharType="begin"/>
          </w:r>
          <w:r w:rsidR="00532F3C">
            <w:rPr>
              <w:rFonts w:cs="Times New Roman"/>
            </w:rPr>
            <w:instrText xml:space="preserve">CITATION Har77 \p 49-50 \l 2057 </w:instrText>
          </w:r>
          <w:r w:rsidR="00532F3C">
            <w:rPr>
              <w:rFonts w:cs="Times New Roman"/>
            </w:rPr>
            <w:fldChar w:fldCharType="separate"/>
          </w:r>
          <w:r w:rsidR="00122864">
            <w:rPr>
              <w:rFonts w:cs="Times New Roman"/>
              <w:noProof/>
            </w:rPr>
            <w:t xml:space="preserve"> </w:t>
          </w:r>
          <w:r w:rsidR="00122864" w:rsidRPr="00122864">
            <w:rPr>
              <w:rFonts w:cs="Times New Roman"/>
              <w:noProof/>
            </w:rPr>
            <w:t>(Harsanyi 1977, 49-50)</w:t>
          </w:r>
          <w:r w:rsidR="00532F3C">
            <w:rPr>
              <w:rFonts w:cs="Times New Roman"/>
            </w:rPr>
            <w:fldChar w:fldCharType="end"/>
          </w:r>
        </w:sdtContent>
      </w:sdt>
    </w:p>
    <w:p w14:paraId="3CCB7995" w14:textId="41F3AF16" w:rsidR="00690BD0" w:rsidRDefault="00690BD0" w:rsidP="00532F3C">
      <w:pPr>
        <w:jc w:val="both"/>
        <w:rPr>
          <w:rFonts w:cs="Times New Roman"/>
        </w:rPr>
      </w:pPr>
      <w:r>
        <w:rPr>
          <w:rFonts w:cs="Times New Roman"/>
        </w:rPr>
        <w:t xml:space="preserve">Thus a person’s moral preferences amongst a range of policies are those preferences (s)he would have were (s)he to have an equal credence that (s)he is any member of the relevant population. Harsanyi shows that this would give preferences for policies that have the greatest expected welfare – i.e. the greatest total prospects. We can see a similarity here with my argument above: ‘the G’ and ‘the G*’ and so on are what we might call anonymous designators, equally likely to be any of A – F, and so when we consider the prospects on behalf of the G we are effectively considering the prospects from the perspective of an agent who doesn’t know who in the population (s)he is, which is just how Harsanyi claims we arrive at moral preferences. </w:t>
      </w:r>
    </w:p>
    <w:p w14:paraId="2F625B2F" w14:textId="01CFF40D" w:rsidR="00690BD0" w:rsidRDefault="00690BD0" w:rsidP="001859AE">
      <w:pPr>
        <w:jc w:val="both"/>
        <w:rPr>
          <w:rFonts w:cs="Times New Roman"/>
        </w:rPr>
      </w:pPr>
      <w:r>
        <w:rPr>
          <w:rFonts w:cs="Times New Roman"/>
        </w:rPr>
        <w:t xml:space="preserve">There is a key difference though. Harsanyi’s argument faces an important challenge: why should we accept that what is morally right is determined by our preferences in a state of ignorance? As Brian Barry writes: ‘No adequate reason has ever been given (by Harsanyi </w:t>
      </w:r>
      <w:r>
        <w:rPr>
          <w:rFonts w:cs="Times New Roman"/>
        </w:rPr>
        <w:lastRenderedPageBreak/>
        <w:t xml:space="preserve">or anybody else) for identifying moral judgments with those made by someone trying to maximise his own prospects from behind a veil of ignorance’ (Barry, </w:t>
      </w:r>
      <w:r>
        <w:rPr>
          <w:rFonts w:cs="Times New Roman"/>
          <w:i/>
          <w:iCs/>
        </w:rPr>
        <w:t>Theories of Justice</w:t>
      </w:r>
      <w:r>
        <w:rPr>
          <w:rFonts w:cs="Times New Roman"/>
        </w:rPr>
        <w:t xml:space="preserve">, p78-9). My argument does not face this challenge. If in some choice situation conditions 1-3 above are all met, then there just will be an admissible set of designators that is anonymous in the required way, and the total prospects will be distributed evenly amongst these designators. And so given the subvaluationist reading of the </w:t>
      </w:r>
      <w:r>
        <w:rPr>
          <w:rFonts w:cs="Times New Roman"/>
          <w:i/>
          <w:iCs/>
        </w:rPr>
        <w:t>ex ante</w:t>
      </w:r>
      <w:r>
        <w:rPr>
          <w:rFonts w:cs="Times New Roman"/>
        </w:rPr>
        <w:t xml:space="preserve"> Pareto principle, it simply follows that a policy is </w:t>
      </w:r>
      <w:r>
        <w:rPr>
          <w:rFonts w:cs="Times New Roman"/>
          <w:i/>
          <w:iCs/>
        </w:rPr>
        <w:t>ex ante</w:t>
      </w:r>
      <w:r>
        <w:rPr>
          <w:rFonts w:cs="Times New Roman"/>
        </w:rPr>
        <w:t xml:space="preserve"> Pareto superior</w:t>
      </w:r>
      <w:r>
        <w:rPr>
          <w:rFonts w:cs="Times New Roman"/>
          <w:vertAlign w:val="subscript"/>
        </w:rPr>
        <w:t>sub</w:t>
      </w:r>
      <w:r>
        <w:rPr>
          <w:rFonts w:cs="Times New Roman"/>
        </w:rPr>
        <w:t xml:space="preserve"> iff it has the greater total prospects. </w:t>
      </w:r>
    </w:p>
    <w:p w14:paraId="190056BB" w14:textId="0EAB2757" w:rsidR="00690BD0" w:rsidRPr="005409DE" w:rsidRDefault="00690BD0" w:rsidP="007908FD">
      <w:pPr>
        <w:jc w:val="both"/>
        <w:rPr>
          <w:rFonts w:cs="Times New Roman"/>
        </w:rPr>
      </w:pPr>
      <w:r>
        <w:rPr>
          <w:rFonts w:cs="Times New Roman"/>
        </w:rPr>
        <w:t xml:space="preserve">The big question here is whether to accept a subvaluationist reading of the </w:t>
      </w:r>
      <w:r>
        <w:rPr>
          <w:rFonts w:cs="Times New Roman"/>
          <w:i/>
          <w:iCs/>
        </w:rPr>
        <w:t>ex ante</w:t>
      </w:r>
      <w:r>
        <w:rPr>
          <w:rFonts w:cs="Times New Roman"/>
        </w:rPr>
        <w:t xml:space="preserve"> Pareto principle – given that to do so is to accept a version of utilitarianism. Dialectically, nobody would accept the </w:t>
      </w:r>
      <w:r>
        <w:rPr>
          <w:rFonts w:cs="Times New Roman"/>
          <w:i/>
          <w:iCs/>
        </w:rPr>
        <w:t>ex ante</w:t>
      </w:r>
      <w:r>
        <w:rPr>
          <w:rFonts w:cs="Times New Roman"/>
        </w:rPr>
        <w:t xml:space="preserve"> Pareto principle under its subvaluationist reading unless they were already committed to utilitarianism, given that (as we shall see in the next section) an alternative reading of the </w:t>
      </w:r>
      <w:r>
        <w:rPr>
          <w:rFonts w:cs="Times New Roman"/>
          <w:i/>
        </w:rPr>
        <w:t>ex ante</w:t>
      </w:r>
      <w:r>
        <w:rPr>
          <w:rFonts w:cs="Times New Roman"/>
        </w:rPr>
        <w:t xml:space="preserve"> Pareto principle is available. Furthermore, the subvaluationist reading of the </w:t>
      </w:r>
      <w:r>
        <w:rPr>
          <w:rFonts w:cs="Times New Roman"/>
          <w:i/>
          <w:iCs/>
        </w:rPr>
        <w:t>ex ante</w:t>
      </w:r>
      <w:r>
        <w:rPr>
          <w:rFonts w:cs="Times New Roman"/>
        </w:rPr>
        <w:t xml:space="preserve"> Pareto principle is an uncharitable interpretation. It is a concern with the prospects for each person considered separately that motives the </w:t>
      </w:r>
      <w:r>
        <w:rPr>
          <w:rFonts w:cs="Times New Roman"/>
          <w:i/>
        </w:rPr>
        <w:t>ex ante</w:t>
      </w:r>
      <w:r>
        <w:rPr>
          <w:rFonts w:cs="Times New Roman"/>
        </w:rPr>
        <w:t xml:space="preserve"> Pareto principle, whereas whether one policy is </w:t>
      </w:r>
      <w:r>
        <w:rPr>
          <w:rFonts w:cs="Times New Roman"/>
          <w:i/>
          <w:iCs/>
        </w:rPr>
        <w:t>ex ante</w:t>
      </w:r>
      <w:r>
        <w:rPr>
          <w:rFonts w:cs="Times New Roman"/>
        </w:rPr>
        <w:t xml:space="preserve"> Pareto superior</w:t>
      </w:r>
      <w:r>
        <w:rPr>
          <w:rFonts w:cs="Times New Roman"/>
          <w:vertAlign w:val="subscript"/>
        </w:rPr>
        <w:t>sub</w:t>
      </w:r>
      <w:r>
        <w:rPr>
          <w:rFonts w:cs="Times New Roman"/>
        </w:rPr>
        <w:t xml:space="preserve"> to another turns out to depend just on the total massed prospects for the whole population. For these reasons, I lay the subvaluationist reading to one side here, and turn to consider the alternative. </w:t>
      </w:r>
    </w:p>
    <w:p w14:paraId="020E0F20" w14:textId="77777777" w:rsidR="00690BD0" w:rsidRDefault="00690BD0" w:rsidP="001859AE">
      <w:pPr>
        <w:pStyle w:val="Heading2"/>
        <w:jc w:val="both"/>
        <w:rPr>
          <w:b/>
          <w:u w:val="single"/>
        </w:rPr>
      </w:pPr>
    </w:p>
    <w:p w14:paraId="37BE05E8" w14:textId="00D5A00E" w:rsidR="00690BD0" w:rsidRPr="001859AE" w:rsidRDefault="00690BD0" w:rsidP="001859AE">
      <w:pPr>
        <w:pStyle w:val="Heading2"/>
        <w:jc w:val="both"/>
        <w:rPr>
          <w:b/>
        </w:rPr>
      </w:pPr>
      <w:r w:rsidRPr="001859AE">
        <w:rPr>
          <w:b/>
        </w:rPr>
        <w:t>The supervaluationist reading</w:t>
      </w:r>
    </w:p>
    <w:p w14:paraId="7A726CF9" w14:textId="419E74D2" w:rsidR="00690BD0" w:rsidRDefault="00690BD0" w:rsidP="001859AE">
      <w:pPr>
        <w:jc w:val="both"/>
        <w:rPr>
          <w:rFonts w:cs="Times New Roman"/>
        </w:rPr>
      </w:pPr>
      <w:r>
        <w:rPr>
          <w:rFonts w:cs="Times New Roman"/>
        </w:rPr>
        <w:t>On the supervaluationist reading, P</w:t>
      </w:r>
      <w:r w:rsidRPr="00BC6144">
        <w:rPr>
          <w:rFonts w:cs="Times New Roman"/>
          <w:i/>
          <w:vertAlign w:val="subscript"/>
        </w:rPr>
        <w:t>x</w:t>
      </w:r>
      <w:r>
        <w:rPr>
          <w:rFonts w:cs="Times New Roman"/>
        </w:rPr>
        <w:t xml:space="preserve"> </w:t>
      </w:r>
      <w:r w:rsidRPr="003E660F">
        <w:rPr>
          <w:rFonts w:cs="Times New Roman"/>
        </w:rPr>
        <w:t xml:space="preserve">is </w:t>
      </w:r>
      <w:r>
        <w:rPr>
          <w:rFonts w:cs="Times New Roman"/>
          <w:i/>
        </w:rPr>
        <w:t>ex ante</w:t>
      </w:r>
      <w:r w:rsidRPr="003E660F">
        <w:rPr>
          <w:rFonts w:cs="Times New Roman"/>
        </w:rPr>
        <w:t xml:space="preserve"> </w:t>
      </w:r>
      <w:r>
        <w:rPr>
          <w:rFonts w:cs="Times New Roman"/>
        </w:rPr>
        <w:t>Pareto</w:t>
      </w:r>
      <w:r w:rsidRPr="003E660F">
        <w:rPr>
          <w:rFonts w:cs="Times New Roman"/>
        </w:rPr>
        <w:t xml:space="preserve"> superior</w:t>
      </w:r>
      <w:r>
        <w:rPr>
          <w:rFonts w:cs="Times New Roman"/>
          <w:vertAlign w:val="subscript"/>
        </w:rPr>
        <w:t>sup</w:t>
      </w:r>
      <w:r>
        <w:rPr>
          <w:rFonts w:cs="Times New Roman"/>
        </w:rPr>
        <w:t xml:space="preserve"> </w:t>
      </w:r>
      <w:r w:rsidRPr="003E660F">
        <w:rPr>
          <w:rFonts w:cs="Times New Roman"/>
        </w:rPr>
        <w:t>to</w:t>
      </w:r>
      <w:r w:rsidRPr="00BC6144">
        <w:rPr>
          <w:rFonts w:cs="Times New Roman"/>
          <w:i/>
          <w:vertAlign w:val="subscript"/>
        </w:rPr>
        <w:t xml:space="preserve"> </w:t>
      </w:r>
      <w:r w:rsidRPr="00BC6144">
        <w:rPr>
          <w:rFonts w:cs="Times New Roman"/>
        </w:rPr>
        <w:t>P</w:t>
      </w:r>
      <w:r w:rsidRPr="00BC6144">
        <w:rPr>
          <w:rFonts w:cs="Times New Roman"/>
          <w:i/>
          <w:vertAlign w:val="subscript"/>
        </w:rPr>
        <w:t xml:space="preserve">y </w:t>
      </w:r>
      <w:r>
        <w:rPr>
          <w:rFonts w:cs="Times New Roman"/>
        </w:rPr>
        <w:t>iff P</w:t>
      </w:r>
      <w:r w:rsidRPr="00BC6144">
        <w:rPr>
          <w:rFonts w:cs="Times New Roman"/>
          <w:i/>
          <w:vertAlign w:val="subscript"/>
        </w:rPr>
        <w:t>x</w:t>
      </w:r>
      <w:r>
        <w:rPr>
          <w:rFonts w:cs="Times New Roman"/>
        </w:rPr>
        <w:t xml:space="preserve"> </w:t>
      </w:r>
      <w:r w:rsidRPr="003E660F">
        <w:rPr>
          <w:rFonts w:cs="Times New Roman"/>
        </w:rPr>
        <w:t xml:space="preserve">is </w:t>
      </w:r>
      <w:r>
        <w:rPr>
          <w:rFonts w:cs="Times New Roman"/>
          <w:i/>
        </w:rPr>
        <w:t>ex ante</w:t>
      </w:r>
      <w:r w:rsidRPr="003E660F">
        <w:rPr>
          <w:rFonts w:cs="Times New Roman"/>
        </w:rPr>
        <w:t xml:space="preserve"> </w:t>
      </w:r>
      <w:r>
        <w:rPr>
          <w:rFonts w:cs="Times New Roman"/>
        </w:rPr>
        <w:t>Pareto</w:t>
      </w:r>
      <w:r w:rsidRPr="003E660F">
        <w:rPr>
          <w:rFonts w:cs="Times New Roman"/>
        </w:rPr>
        <w:t xml:space="preserve"> superior to</w:t>
      </w:r>
      <w:r w:rsidRPr="00BC6144">
        <w:rPr>
          <w:rFonts w:cs="Times New Roman"/>
          <w:i/>
          <w:vertAlign w:val="subscript"/>
        </w:rPr>
        <w:t xml:space="preserve"> </w:t>
      </w:r>
      <w:r w:rsidRPr="00BC6144">
        <w:rPr>
          <w:rFonts w:cs="Times New Roman"/>
        </w:rPr>
        <w:t>P</w:t>
      </w:r>
      <w:r w:rsidRPr="00BC6144">
        <w:rPr>
          <w:rFonts w:cs="Times New Roman"/>
          <w:i/>
          <w:vertAlign w:val="subscript"/>
        </w:rPr>
        <w:t xml:space="preserve">y </w:t>
      </w:r>
      <w:r w:rsidRPr="003E660F">
        <w:rPr>
          <w:rFonts w:cs="Times New Roman"/>
        </w:rPr>
        <w:t xml:space="preserve">relative to </w:t>
      </w:r>
      <w:r>
        <w:rPr>
          <w:rFonts w:cs="Times New Roman"/>
          <w:i/>
          <w:iCs/>
        </w:rPr>
        <w:t>all</w:t>
      </w:r>
      <w:r>
        <w:rPr>
          <w:rFonts w:cs="Times New Roman"/>
        </w:rPr>
        <w:t xml:space="preserve"> admissible sets of designators</w:t>
      </w:r>
      <w:r w:rsidRPr="003E660F">
        <w:rPr>
          <w:rFonts w:cs="Times New Roman"/>
        </w:rPr>
        <w:t xml:space="preserve">. </w:t>
      </w:r>
      <w:r>
        <w:rPr>
          <w:rFonts w:cs="Times New Roman"/>
        </w:rPr>
        <w:t xml:space="preserve">Once one has grasped the problem with the </w:t>
      </w:r>
      <w:r>
        <w:rPr>
          <w:rFonts w:cs="Times New Roman"/>
          <w:i/>
        </w:rPr>
        <w:t>ex ante</w:t>
      </w:r>
      <w:r>
        <w:rPr>
          <w:rFonts w:cs="Times New Roman"/>
        </w:rPr>
        <w:t xml:space="preserve"> Pareto principle as it has previously been stated, this reading </w:t>
      </w:r>
      <w:r>
        <w:rPr>
          <w:rFonts w:cs="Times New Roman"/>
        </w:rPr>
        <w:lastRenderedPageBreak/>
        <w:t xml:space="preserve">seems like the natural way to capture its spirit. On this reading, the criteria for </w:t>
      </w:r>
      <w:r>
        <w:rPr>
          <w:rFonts w:cs="Times New Roman"/>
          <w:i/>
          <w:iCs/>
        </w:rPr>
        <w:t>ex ante</w:t>
      </w:r>
      <w:r>
        <w:rPr>
          <w:rFonts w:cs="Times New Roman"/>
        </w:rPr>
        <w:t xml:space="preserve"> Pareto superiority is quite demanding. Instead of just considering one set of admissible designators, to establish </w:t>
      </w:r>
      <w:r>
        <w:rPr>
          <w:rFonts w:cs="Times New Roman"/>
          <w:i/>
          <w:iCs/>
        </w:rPr>
        <w:t>ex ante</w:t>
      </w:r>
      <w:r>
        <w:rPr>
          <w:rFonts w:cs="Times New Roman"/>
        </w:rPr>
        <w:t xml:space="preserve"> Pareto superiority we must consider </w:t>
      </w:r>
      <w:r>
        <w:rPr>
          <w:rFonts w:cs="Times New Roman"/>
          <w:i/>
          <w:iCs/>
        </w:rPr>
        <w:t>all</w:t>
      </w:r>
      <w:r>
        <w:rPr>
          <w:rFonts w:cs="Times New Roman"/>
        </w:rPr>
        <w:t xml:space="preserve"> sets of admissible designators. </w:t>
      </w:r>
      <w:r w:rsidRPr="003E660F">
        <w:rPr>
          <w:rFonts w:cs="Times New Roman"/>
        </w:rPr>
        <w:t xml:space="preserve">This means that in many cases where it appeared as though one </w:t>
      </w:r>
      <w:r>
        <w:rPr>
          <w:rFonts w:cs="Times New Roman"/>
        </w:rPr>
        <w:t>policy</w:t>
      </w:r>
      <w:r w:rsidRPr="003E660F">
        <w:rPr>
          <w:rFonts w:cs="Times New Roman"/>
        </w:rPr>
        <w:t xml:space="preserve"> was </w:t>
      </w:r>
      <w:r>
        <w:rPr>
          <w:rFonts w:cs="Times New Roman"/>
          <w:i/>
        </w:rPr>
        <w:t>ex ante</w:t>
      </w:r>
      <w:r w:rsidRPr="003E660F">
        <w:rPr>
          <w:rFonts w:cs="Times New Roman"/>
        </w:rPr>
        <w:t xml:space="preserve"> </w:t>
      </w:r>
      <w:r>
        <w:rPr>
          <w:rFonts w:cs="Times New Roman"/>
        </w:rPr>
        <w:t>Pareto</w:t>
      </w:r>
      <w:r w:rsidRPr="003E660F">
        <w:rPr>
          <w:rFonts w:cs="Times New Roman"/>
        </w:rPr>
        <w:t xml:space="preserve"> superior to another, that </w:t>
      </w:r>
      <w:r>
        <w:rPr>
          <w:rFonts w:cs="Times New Roman"/>
        </w:rPr>
        <w:t xml:space="preserve">does not hold on this reading. As the criteria for </w:t>
      </w:r>
      <w:r>
        <w:rPr>
          <w:rFonts w:cs="Times New Roman"/>
          <w:i/>
          <w:iCs/>
        </w:rPr>
        <w:t>ex ante</w:t>
      </w:r>
      <w:r>
        <w:rPr>
          <w:rFonts w:cs="Times New Roman"/>
        </w:rPr>
        <w:t xml:space="preserve"> Pareto superiority becomes more demanding, the </w:t>
      </w:r>
      <w:r>
        <w:rPr>
          <w:rFonts w:cs="Times New Roman"/>
          <w:i/>
          <w:iCs/>
        </w:rPr>
        <w:t>ex ante</w:t>
      </w:r>
      <w:r>
        <w:rPr>
          <w:rFonts w:cs="Times New Roman"/>
        </w:rPr>
        <w:t xml:space="preserve"> Pareto principle becomes weaker, because it places a restriction on the decision-maker in fewer choice situations. Nevertheless the </w:t>
      </w:r>
      <w:r>
        <w:rPr>
          <w:rFonts w:cs="Times New Roman"/>
          <w:i/>
          <w:iCs/>
        </w:rPr>
        <w:t>ex ante</w:t>
      </w:r>
      <w:r>
        <w:rPr>
          <w:rFonts w:cs="Times New Roman"/>
        </w:rPr>
        <w:t xml:space="preserve"> Pareto principle</w:t>
      </w:r>
      <w:r>
        <w:rPr>
          <w:rFonts w:cs="Times New Roman"/>
          <w:vertAlign w:val="subscript"/>
        </w:rPr>
        <w:t>sup</w:t>
      </w:r>
      <w:r>
        <w:rPr>
          <w:rFonts w:cs="Times New Roman"/>
        </w:rPr>
        <w:t xml:space="preserve"> is not completely toothless: it still imposes some restrictions, and I explore some of the boundaries of these restrictions below. </w:t>
      </w:r>
    </w:p>
    <w:p w14:paraId="76F47EAB" w14:textId="77777777" w:rsidR="00690BD0" w:rsidRPr="003E660F" w:rsidRDefault="00690BD0" w:rsidP="001859AE">
      <w:pPr>
        <w:jc w:val="both"/>
        <w:rPr>
          <w:rFonts w:cs="Times New Roman"/>
        </w:rPr>
      </w:pPr>
    </w:p>
    <w:p w14:paraId="6AB470D9" w14:textId="3B41CAF8" w:rsidR="00690BD0" w:rsidRPr="003E660F" w:rsidRDefault="00690BD0" w:rsidP="001859AE">
      <w:pPr>
        <w:pStyle w:val="Heading3"/>
        <w:jc w:val="both"/>
      </w:pPr>
      <w:r w:rsidRPr="003E660F">
        <w:t>Greater expected welfare</w:t>
      </w:r>
    </w:p>
    <w:p w14:paraId="56DF84D4" w14:textId="4E48D966" w:rsidR="00690BD0" w:rsidRPr="00FB07F5" w:rsidRDefault="00690BD0" w:rsidP="001859AE">
      <w:pPr>
        <w:pStyle w:val="ListParagraph"/>
        <w:numPr>
          <w:ilvl w:val="0"/>
          <w:numId w:val="26"/>
        </w:numPr>
        <w:jc w:val="both"/>
        <w:rPr>
          <w:rFonts w:cs="Times New Roman"/>
        </w:rPr>
      </w:pPr>
      <w:r w:rsidRPr="00FB07F5">
        <w:rPr>
          <w:rFonts w:cs="Times New Roman"/>
        </w:rPr>
        <w:t>If policy</w:t>
      </w:r>
      <w:r>
        <w:rPr>
          <w:rFonts w:cs="Times New Roman"/>
        </w:rPr>
        <w:t xml:space="preserve"> P</w:t>
      </w:r>
      <w:r w:rsidRPr="00BC6144">
        <w:rPr>
          <w:rFonts w:cs="Times New Roman"/>
          <w:i/>
          <w:vertAlign w:val="subscript"/>
        </w:rPr>
        <w:t>x</w:t>
      </w:r>
      <w:r>
        <w:rPr>
          <w:rFonts w:cs="Times New Roman"/>
        </w:rPr>
        <w:t xml:space="preserve"> </w:t>
      </w:r>
      <w:r w:rsidRPr="00FB07F5">
        <w:rPr>
          <w:rFonts w:cs="Times New Roman"/>
        </w:rPr>
        <w:t xml:space="preserve">is </w:t>
      </w:r>
      <w:r w:rsidRPr="00FB07F5">
        <w:rPr>
          <w:rFonts w:cs="Times New Roman"/>
          <w:i/>
          <w:iCs/>
        </w:rPr>
        <w:t xml:space="preserve">ex ante </w:t>
      </w:r>
      <w:r>
        <w:rPr>
          <w:rFonts w:cs="Times New Roman"/>
        </w:rPr>
        <w:t>Pareto</w:t>
      </w:r>
      <w:r w:rsidRPr="00FB07F5">
        <w:rPr>
          <w:rFonts w:cs="Times New Roman"/>
        </w:rPr>
        <w:t xml:space="preserve"> superior</w:t>
      </w:r>
      <w:r>
        <w:rPr>
          <w:rFonts w:cs="Times New Roman"/>
          <w:vertAlign w:val="subscript"/>
        </w:rPr>
        <w:t>sup</w:t>
      </w:r>
      <w:r w:rsidRPr="00FB07F5">
        <w:rPr>
          <w:rFonts w:cs="Times New Roman"/>
        </w:rPr>
        <w:t xml:space="preserve"> to policy </w:t>
      </w:r>
      <w:r w:rsidRPr="00BC6144">
        <w:rPr>
          <w:rFonts w:cs="Times New Roman"/>
        </w:rPr>
        <w:t>P</w:t>
      </w:r>
      <w:r w:rsidRPr="00BC6144">
        <w:rPr>
          <w:rFonts w:cs="Times New Roman"/>
          <w:i/>
          <w:vertAlign w:val="subscript"/>
        </w:rPr>
        <w:t>y</w:t>
      </w:r>
      <w:r w:rsidRPr="00FB07F5">
        <w:rPr>
          <w:rFonts w:cs="Times New Roman"/>
        </w:rPr>
        <w:t xml:space="preserve">, then the </w:t>
      </w:r>
      <w:r>
        <w:rPr>
          <w:rFonts w:cs="Times New Roman"/>
        </w:rPr>
        <w:t>total prospects</w:t>
      </w:r>
      <w:r w:rsidRPr="00FB07F5">
        <w:rPr>
          <w:rFonts w:cs="Times New Roman"/>
        </w:rPr>
        <w:t xml:space="preserve"> under</w:t>
      </w:r>
      <w:r>
        <w:rPr>
          <w:rFonts w:cs="Times New Roman"/>
        </w:rPr>
        <w:t xml:space="preserve"> P</w:t>
      </w:r>
      <w:r w:rsidRPr="00BC6144">
        <w:rPr>
          <w:rFonts w:cs="Times New Roman"/>
          <w:i/>
          <w:vertAlign w:val="subscript"/>
        </w:rPr>
        <w:t>x</w:t>
      </w:r>
      <w:r>
        <w:rPr>
          <w:rFonts w:cs="Times New Roman"/>
        </w:rPr>
        <w:t xml:space="preserve"> </w:t>
      </w:r>
      <w:r w:rsidRPr="00FB07F5">
        <w:rPr>
          <w:rFonts w:cs="Times New Roman"/>
        </w:rPr>
        <w:t xml:space="preserve">will be greater than the </w:t>
      </w:r>
      <w:r>
        <w:rPr>
          <w:rFonts w:cs="Times New Roman"/>
        </w:rPr>
        <w:t xml:space="preserve">total prospects under </w:t>
      </w:r>
      <w:r w:rsidRPr="00BC6144">
        <w:rPr>
          <w:rFonts w:cs="Times New Roman"/>
        </w:rPr>
        <w:t>P</w:t>
      </w:r>
      <w:r w:rsidRPr="00BC6144">
        <w:rPr>
          <w:rFonts w:cs="Times New Roman"/>
          <w:i/>
          <w:vertAlign w:val="subscript"/>
        </w:rPr>
        <w:t>y</w:t>
      </w:r>
    </w:p>
    <w:p w14:paraId="5CDC7305" w14:textId="53EA4774" w:rsidR="00690BD0" w:rsidRDefault="00690BD0" w:rsidP="001859AE">
      <w:pPr>
        <w:jc w:val="both"/>
        <w:rPr>
          <w:rFonts w:cs="Times New Roman"/>
        </w:rPr>
      </w:pPr>
      <w:r>
        <w:rPr>
          <w:rFonts w:cs="Times New Roman"/>
        </w:rPr>
        <w:t>To see why (i) holds, consider that if policy P</w:t>
      </w:r>
      <w:r w:rsidRPr="00BC6144">
        <w:rPr>
          <w:rFonts w:cs="Times New Roman"/>
          <w:i/>
          <w:vertAlign w:val="subscript"/>
        </w:rPr>
        <w:t>x</w:t>
      </w:r>
      <w:r>
        <w:rPr>
          <w:rFonts w:cs="Times New Roman"/>
        </w:rPr>
        <w:t xml:space="preserve"> is </w:t>
      </w:r>
      <w:r>
        <w:rPr>
          <w:rFonts w:cs="Times New Roman"/>
          <w:i/>
          <w:iCs/>
        </w:rPr>
        <w:t>ex ante</w:t>
      </w:r>
      <w:r>
        <w:rPr>
          <w:rFonts w:cs="Times New Roman"/>
        </w:rPr>
        <w:t xml:space="preserve"> Pareto superior</w:t>
      </w:r>
      <w:r>
        <w:rPr>
          <w:rFonts w:cs="Times New Roman"/>
          <w:vertAlign w:val="subscript"/>
        </w:rPr>
        <w:t>sup</w:t>
      </w:r>
      <w:r>
        <w:rPr>
          <w:rFonts w:cs="Times New Roman"/>
        </w:rPr>
        <w:t xml:space="preserve"> to policy </w:t>
      </w:r>
      <w:r w:rsidRPr="00BC6144">
        <w:rPr>
          <w:rFonts w:cs="Times New Roman"/>
        </w:rPr>
        <w:t>P</w:t>
      </w:r>
      <w:r w:rsidRPr="00BC6144">
        <w:rPr>
          <w:rFonts w:cs="Times New Roman"/>
          <w:i/>
          <w:vertAlign w:val="subscript"/>
        </w:rPr>
        <w:t>y</w:t>
      </w:r>
      <w:r>
        <w:rPr>
          <w:rFonts w:cs="Times New Roman"/>
        </w:rPr>
        <w:t>, then P</w:t>
      </w:r>
      <w:r w:rsidRPr="00BC6144">
        <w:rPr>
          <w:rFonts w:cs="Times New Roman"/>
          <w:i/>
          <w:vertAlign w:val="subscript"/>
        </w:rPr>
        <w:t>x</w:t>
      </w:r>
      <w:r>
        <w:rPr>
          <w:rFonts w:cs="Times New Roman"/>
        </w:rPr>
        <w:t xml:space="preserve"> is certainly </w:t>
      </w:r>
      <w:r>
        <w:rPr>
          <w:rFonts w:cs="Times New Roman"/>
          <w:i/>
          <w:iCs/>
        </w:rPr>
        <w:t>ex ante</w:t>
      </w:r>
      <w:r>
        <w:rPr>
          <w:rFonts w:cs="Times New Roman"/>
        </w:rPr>
        <w:t xml:space="preserve"> Pareto superior</w:t>
      </w:r>
      <w:r>
        <w:rPr>
          <w:rFonts w:cs="Times New Roman"/>
          <w:vertAlign w:val="subscript"/>
        </w:rPr>
        <w:t>sub</w:t>
      </w:r>
      <w:r>
        <w:rPr>
          <w:rFonts w:cs="Times New Roman"/>
        </w:rPr>
        <w:t xml:space="preserve"> to policy </w:t>
      </w:r>
      <w:r w:rsidRPr="00BC6144">
        <w:rPr>
          <w:rFonts w:cs="Times New Roman"/>
        </w:rPr>
        <w:t>P</w:t>
      </w:r>
      <w:r w:rsidRPr="00BC6144">
        <w:rPr>
          <w:rFonts w:cs="Times New Roman"/>
          <w:i/>
          <w:vertAlign w:val="subscript"/>
        </w:rPr>
        <w:t>y</w:t>
      </w:r>
      <w:r>
        <w:rPr>
          <w:rFonts w:cs="Times New Roman"/>
        </w:rPr>
        <w:t>.</w:t>
      </w:r>
      <w:r w:rsidR="000168CE">
        <w:rPr>
          <w:rStyle w:val="FootnoteReference"/>
          <w:rFonts w:cs="Times New Roman"/>
        </w:rPr>
        <w:footnoteReference w:id="12"/>
      </w:r>
      <w:r w:rsidR="000168CE">
        <w:rPr>
          <w:rFonts w:cs="Times New Roman"/>
        </w:rPr>
        <w:t xml:space="preserve"> </w:t>
      </w:r>
      <w:r>
        <w:rPr>
          <w:rFonts w:cs="Times New Roman"/>
        </w:rPr>
        <w:t>And it has already been shown that if P</w:t>
      </w:r>
      <w:r w:rsidRPr="00BC6144">
        <w:rPr>
          <w:rFonts w:cs="Times New Roman"/>
          <w:i/>
          <w:vertAlign w:val="subscript"/>
        </w:rPr>
        <w:t>x</w:t>
      </w:r>
      <w:r>
        <w:rPr>
          <w:rFonts w:cs="Times New Roman"/>
        </w:rPr>
        <w:t xml:space="preserve"> is </w:t>
      </w:r>
      <w:r>
        <w:rPr>
          <w:rFonts w:cs="Times New Roman"/>
          <w:i/>
          <w:iCs/>
        </w:rPr>
        <w:t>ex ante</w:t>
      </w:r>
      <w:r>
        <w:rPr>
          <w:rFonts w:cs="Times New Roman"/>
        </w:rPr>
        <w:t xml:space="preserve"> Pareto superior</w:t>
      </w:r>
      <w:r>
        <w:rPr>
          <w:rFonts w:cs="Times New Roman"/>
          <w:vertAlign w:val="subscript"/>
        </w:rPr>
        <w:t>sub</w:t>
      </w:r>
      <w:r>
        <w:rPr>
          <w:rFonts w:cs="Times New Roman"/>
        </w:rPr>
        <w:t xml:space="preserve"> to </w:t>
      </w:r>
      <w:r w:rsidRPr="00BC6144">
        <w:rPr>
          <w:rFonts w:cs="Times New Roman"/>
        </w:rPr>
        <w:t>P</w:t>
      </w:r>
      <w:r w:rsidRPr="00BC6144">
        <w:rPr>
          <w:rFonts w:cs="Times New Roman"/>
          <w:i/>
          <w:vertAlign w:val="subscript"/>
        </w:rPr>
        <w:t>y</w:t>
      </w:r>
      <w:r>
        <w:rPr>
          <w:rFonts w:cs="Times New Roman"/>
        </w:rPr>
        <w:t>, then the total prospects under P</w:t>
      </w:r>
      <w:r w:rsidRPr="00BC6144">
        <w:rPr>
          <w:rFonts w:cs="Times New Roman"/>
          <w:i/>
          <w:vertAlign w:val="subscript"/>
        </w:rPr>
        <w:t>x</w:t>
      </w:r>
      <w:r>
        <w:rPr>
          <w:rFonts w:cs="Times New Roman"/>
        </w:rPr>
        <w:t xml:space="preserve"> are greater than the total prospects under </w:t>
      </w:r>
      <w:r w:rsidRPr="00BC6144">
        <w:rPr>
          <w:rFonts w:cs="Times New Roman"/>
        </w:rPr>
        <w:t>P</w:t>
      </w:r>
      <w:r w:rsidRPr="00BC6144">
        <w:rPr>
          <w:rFonts w:cs="Times New Roman"/>
          <w:i/>
          <w:vertAlign w:val="subscript"/>
        </w:rPr>
        <w:t>y</w:t>
      </w:r>
      <w:r>
        <w:rPr>
          <w:rFonts w:cs="Times New Roman"/>
        </w:rPr>
        <w:t xml:space="preserve">. </w:t>
      </w:r>
    </w:p>
    <w:p w14:paraId="07E4C1AB" w14:textId="2A9FCC9F" w:rsidR="00690BD0" w:rsidRDefault="00690BD0" w:rsidP="001859AE">
      <w:pPr>
        <w:jc w:val="both"/>
        <w:rPr>
          <w:rFonts w:cs="Times New Roman"/>
        </w:rPr>
      </w:pPr>
      <w:r>
        <w:rPr>
          <w:rFonts w:cs="Times New Roman"/>
        </w:rPr>
        <w:t>The reverse claim does not hold, or in other words:</w:t>
      </w:r>
    </w:p>
    <w:p w14:paraId="4078F9B5" w14:textId="5639525E" w:rsidR="00690BD0" w:rsidRPr="00FB07F5" w:rsidRDefault="00690BD0" w:rsidP="001859AE">
      <w:pPr>
        <w:pStyle w:val="ListParagraph"/>
        <w:numPr>
          <w:ilvl w:val="0"/>
          <w:numId w:val="26"/>
        </w:numPr>
        <w:jc w:val="both"/>
        <w:rPr>
          <w:rFonts w:cs="Times New Roman"/>
        </w:rPr>
      </w:pPr>
      <w:r w:rsidRPr="00FB07F5">
        <w:rPr>
          <w:rFonts w:cs="Times New Roman"/>
        </w:rPr>
        <w:t xml:space="preserve">From the claim that the </w:t>
      </w:r>
      <w:r>
        <w:rPr>
          <w:rFonts w:cs="Times New Roman"/>
        </w:rPr>
        <w:t>total</w:t>
      </w:r>
      <w:r w:rsidRPr="00FB07F5">
        <w:rPr>
          <w:rFonts w:cs="Times New Roman"/>
        </w:rPr>
        <w:t xml:space="preserve"> prospects under</w:t>
      </w:r>
      <w:r>
        <w:rPr>
          <w:rFonts w:cs="Times New Roman"/>
        </w:rPr>
        <w:t xml:space="preserve"> P</w:t>
      </w:r>
      <w:r w:rsidRPr="00BC6144">
        <w:rPr>
          <w:rFonts w:cs="Times New Roman"/>
          <w:i/>
          <w:vertAlign w:val="subscript"/>
        </w:rPr>
        <w:t>x</w:t>
      </w:r>
      <w:r>
        <w:rPr>
          <w:rFonts w:cs="Times New Roman"/>
        </w:rPr>
        <w:t xml:space="preserve"> is greater than the total prospects under </w:t>
      </w:r>
      <w:r w:rsidRPr="00BC6144">
        <w:rPr>
          <w:rFonts w:cs="Times New Roman"/>
        </w:rPr>
        <w:t>P</w:t>
      </w:r>
      <w:r w:rsidRPr="00BC6144">
        <w:rPr>
          <w:rFonts w:cs="Times New Roman"/>
          <w:i/>
          <w:vertAlign w:val="subscript"/>
        </w:rPr>
        <w:t>y</w:t>
      </w:r>
      <w:r>
        <w:rPr>
          <w:rFonts w:cs="Times New Roman"/>
        </w:rPr>
        <w:t xml:space="preserve">, </w:t>
      </w:r>
      <w:r w:rsidRPr="00FB07F5">
        <w:rPr>
          <w:rFonts w:cs="Times New Roman"/>
        </w:rPr>
        <w:t>it does not follow that</w:t>
      </w:r>
      <w:r>
        <w:rPr>
          <w:rFonts w:cs="Times New Roman"/>
        </w:rPr>
        <w:t xml:space="preserve"> P</w:t>
      </w:r>
      <w:r w:rsidRPr="00BC6144">
        <w:rPr>
          <w:rFonts w:cs="Times New Roman"/>
          <w:i/>
          <w:vertAlign w:val="subscript"/>
        </w:rPr>
        <w:t>x</w:t>
      </w:r>
      <w:r>
        <w:rPr>
          <w:rFonts w:cs="Times New Roman"/>
        </w:rPr>
        <w:t xml:space="preserve"> </w:t>
      </w:r>
      <w:r w:rsidRPr="00FB07F5">
        <w:rPr>
          <w:rFonts w:cs="Times New Roman"/>
        </w:rPr>
        <w:t xml:space="preserve">is </w:t>
      </w:r>
      <w:r w:rsidRPr="00FB07F5">
        <w:rPr>
          <w:rFonts w:cs="Times New Roman"/>
          <w:i/>
          <w:iCs/>
        </w:rPr>
        <w:t xml:space="preserve">ex ante </w:t>
      </w:r>
      <w:r>
        <w:rPr>
          <w:rFonts w:cs="Times New Roman"/>
        </w:rPr>
        <w:t>Pareto</w:t>
      </w:r>
      <w:r w:rsidRPr="00FB07F5">
        <w:rPr>
          <w:rFonts w:cs="Times New Roman"/>
        </w:rPr>
        <w:t xml:space="preserve"> superior</w:t>
      </w:r>
      <w:r>
        <w:rPr>
          <w:rFonts w:cs="Times New Roman"/>
          <w:vertAlign w:val="subscript"/>
        </w:rPr>
        <w:t>sup</w:t>
      </w:r>
      <w:r w:rsidRPr="00FB07F5">
        <w:rPr>
          <w:rFonts w:cs="Times New Roman"/>
        </w:rPr>
        <w:t xml:space="preserve"> to </w:t>
      </w:r>
      <w:r w:rsidRPr="00BC6144">
        <w:rPr>
          <w:rFonts w:cs="Times New Roman"/>
        </w:rPr>
        <w:t>P</w:t>
      </w:r>
      <w:r w:rsidRPr="00BC6144">
        <w:rPr>
          <w:rFonts w:cs="Times New Roman"/>
          <w:i/>
          <w:vertAlign w:val="subscript"/>
        </w:rPr>
        <w:t>y</w:t>
      </w:r>
      <w:r w:rsidRPr="00FB07F5">
        <w:rPr>
          <w:rFonts w:cs="Times New Roman"/>
        </w:rPr>
        <w:t xml:space="preserve">. </w:t>
      </w:r>
    </w:p>
    <w:p w14:paraId="13204353" w14:textId="0A5D50C0" w:rsidR="00690BD0" w:rsidRDefault="00690BD0" w:rsidP="001859AE">
      <w:pPr>
        <w:jc w:val="both"/>
        <w:rPr>
          <w:rFonts w:cs="Times New Roman"/>
        </w:rPr>
      </w:pPr>
      <w:r>
        <w:rPr>
          <w:rFonts w:cs="Times New Roman"/>
        </w:rPr>
        <w:lastRenderedPageBreak/>
        <w:t>This is easily proved with an example. In this example, we have a population of just two people, and they can be designated using {Chris, Dom}:</w:t>
      </w:r>
    </w:p>
    <w:tbl>
      <w:tblPr>
        <w:tblStyle w:val="TableGrid"/>
        <w:tblW w:w="0" w:type="auto"/>
        <w:tblLook w:val="04A0" w:firstRow="1" w:lastRow="0" w:firstColumn="1" w:lastColumn="0" w:noHBand="0" w:noVBand="1"/>
      </w:tblPr>
      <w:tblGrid>
        <w:gridCol w:w="1693"/>
        <w:gridCol w:w="2409"/>
        <w:gridCol w:w="2682"/>
        <w:gridCol w:w="2232"/>
      </w:tblGrid>
      <w:tr w:rsidR="00690BD0" w:rsidRPr="003E660F" w14:paraId="3619680C" w14:textId="77777777" w:rsidTr="00D2268E">
        <w:trPr>
          <w:trHeight w:val="452"/>
        </w:trPr>
        <w:tc>
          <w:tcPr>
            <w:tcW w:w="1693" w:type="dxa"/>
          </w:tcPr>
          <w:p w14:paraId="7BB0B01A" w14:textId="77777777" w:rsidR="00690BD0" w:rsidRPr="003E660F" w:rsidRDefault="00690BD0" w:rsidP="000E0EFB">
            <w:pPr>
              <w:spacing w:line="360" w:lineRule="auto"/>
              <w:jc w:val="both"/>
              <w:rPr>
                <w:rFonts w:cs="Times New Roman"/>
              </w:rPr>
            </w:pPr>
          </w:p>
        </w:tc>
        <w:tc>
          <w:tcPr>
            <w:tcW w:w="2409" w:type="dxa"/>
          </w:tcPr>
          <w:p w14:paraId="4460D5B9" w14:textId="008CE71E" w:rsidR="00690BD0" w:rsidRPr="003E660F" w:rsidRDefault="00690BD0" w:rsidP="000E0EFB">
            <w:pPr>
              <w:spacing w:line="360" w:lineRule="auto"/>
              <w:jc w:val="both"/>
              <w:rPr>
                <w:rFonts w:cs="Times New Roman"/>
              </w:rPr>
            </w:pPr>
            <w:r w:rsidRPr="003E660F">
              <w:rPr>
                <w:rFonts w:cs="Times New Roman"/>
              </w:rPr>
              <w:t>State S</w:t>
            </w:r>
            <w:r w:rsidRPr="003E660F">
              <w:rPr>
                <w:rFonts w:cs="Times New Roman"/>
                <w:vertAlign w:val="subscript"/>
              </w:rPr>
              <w:t>1</w:t>
            </w:r>
            <w:r w:rsidRPr="003E660F">
              <w:rPr>
                <w:rFonts w:cs="Times New Roman"/>
              </w:rPr>
              <w:t xml:space="preserve">: </w:t>
            </w:r>
            <w:r>
              <w:rPr>
                <w:rFonts w:cs="Times New Roman"/>
              </w:rPr>
              <w:t>HEADS</w:t>
            </w:r>
          </w:p>
        </w:tc>
        <w:tc>
          <w:tcPr>
            <w:tcW w:w="2682" w:type="dxa"/>
          </w:tcPr>
          <w:p w14:paraId="51F3F2D9" w14:textId="512D2B61" w:rsidR="00690BD0" w:rsidRPr="003E660F" w:rsidRDefault="00690BD0" w:rsidP="000E0EFB">
            <w:pPr>
              <w:spacing w:line="360" w:lineRule="auto"/>
              <w:jc w:val="both"/>
              <w:rPr>
                <w:rFonts w:cs="Times New Roman"/>
              </w:rPr>
            </w:pPr>
            <w:r w:rsidRPr="003E660F">
              <w:rPr>
                <w:rFonts w:cs="Times New Roman"/>
              </w:rPr>
              <w:t>State S</w:t>
            </w:r>
            <w:r w:rsidRPr="003E660F">
              <w:rPr>
                <w:rFonts w:cs="Times New Roman"/>
              </w:rPr>
              <w:softHyphen/>
            </w:r>
            <w:r w:rsidRPr="003E660F">
              <w:rPr>
                <w:rFonts w:cs="Times New Roman"/>
                <w:vertAlign w:val="subscript"/>
              </w:rPr>
              <w:t>2</w:t>
            </w:r>
            <w:r w:rsidRPr="003E660F">
              <w:rPr>
                <w:rFonts w:cs="Times New Roman"/>
              </w:rPr>
              <w:t xml:space="preserve">: </w:t>
            </w:r>
            <w:r>
              <w:rPr>
                <w:rFonts w:cs="Times New Roman"/>
              </w:rPr>
              <w:t>TAILS</w:t>
            </w:r>
          </w:p>
        </w:tc>
        <w:tc>
          <w:tcPr>
            <w:tcW w:w="2232" w:type="dxa"/>
          </w:tcPr>
          <w:p w14:paraId="16B8441A" w14:textId="4A68EF44" w:rsidR="00690BD0" w:rsidRPr="003E660F" w:rsidRDefault="00690BD0" w:rsidP="000E0EFB">
            <w:pPr>
              <w:spacing w:line="360" w:lineRule="auto"/>
              <w:jc w:val="both"/>
              <w:rPr>
                <w:rFonts w:cs="Times New Roman"/>
                <w:i/>
              </w:rPr>
            </w:pPr>
            <w:r w:rsidRPr="003E660F">
              <w:rPr>
                <w:rFonts w:cs="Times New Roman"/>
                <w:i/>
              </w:rPr>
              <w:t>Prospect</w:t>
            </w:r>
            <w:r>
              <w:rPr>
                <w:rFonts w:cs="Times New Roman"/>
                <w:i/>
              </w:rPr>
              <w:t>s</w:t>
            </w:r>
          </w:p>
        </w:tc>
      </w:tr>
      <w:tr w:rsidR="00690BD0" w:rsidRPr="003E660F" w14:paraId="1C4DD75D" w14:textId="77777777" w:rsidTr="00782273">
        <w:tc>
          <w:tcPr>
            <w:tcW w:w="1693" w:type="dxa"/>
          </w:tcPr>
          <w:p w14:paraId="07B95C98" w14:textId="77777777" w:rsidR="00690BD0" w:rsidRPr="003E660F" w:rsidRDefault="00690BD0" w:rsidP="000E0EFB">
            <w:pPr>
              <w:spacing w:line="360" w:lineRule="auto"/>
              <w:jc w:val="both"/>
              <w:rPr>
                <w:rFonts w:cs="Times New Roman"/>
                <w:i/>
              </w:rPr>
            </w:pPr>
          </w:p>
        </w:tc>
        <w:tc>
          <w:tcPr>
            <w:tcW w:w="2409" w:type="dxa"/>
          </w:tcPr>
          <w:p w14:paraId="6D21EA97" w14:textId="77777777" w:rsidR="00690BD0" w:rsidRPr="003E660F" w:rsidRDefault="00690BD0" w:rsidP="000E0EFB">
            <w:pPr>
              <w:spacing w:line="360" w:lineRule="auto"/>
              <w:jc w:val="both"/>
              <w:rPr>
                <w:rFonts w:cs="Times New Roman"/>
              </w:rPr>
            </w:pPr>
            <w:r w:rsidRPr="003E660F">
              <w:rPr>
                <w:rFonts w:cs="Times New Roman"/>
              </w:rPr>
              <w:t>P(S</w:t>
            </w:r>
            <w:r w:rsidRPr="003E660F">
              <w:rPr>
                <w:rFonts w:cs="Times New Roman"/>
                <w:vertAlign w:val="subscript"/>
              </w:rPr>
              <w:t>1</w:t>
            </w:r>
            <w:r w:rsidRPr="003E660F">
              <w:rPr>
                <w:rFonts w:cs="Times New Roman"/>
              </w:rPr>
              <w:t>) = 0.5</w:t>
            </w:r>
          </w:p>
        </w:tc>
        <w:tc>
          <w:tcPr>
            <w:tcW w:w="2682" w:type="dxa"/>
          </w:tcPr>
          <w:p w14:paraId="4931859C" w14:textId="77777777" w:rsidR="00690BD0" w:rsidRPr="003E660F" w:rsidRDefault="00690BD0" w:rsidP="000E0EFB">
            <w:pPr>
              <w:spacing w:line="360" w:lineRule="auto"/>
              <w:jc w:val="both"/>
              <w:rPr>
                <w:rFonts w:cs="Times New Roman"/>
              </w:rPr>
            </w:pPr>
            <w:r w:rsidRPr="003E660F">
              <w:rPr>
                <w:rFonts w:cs="Times New Roman"/>
              </w:rPr>
              <w:t>P(S</w:t>
            </w:r>
            <w:r w:rsidRPr="003E660F">
              <w:rPr>
                <w:rFonts w:cs="Times New Roman"/>
                <w:vertAlign w:val="subscript"/>
              </w:rPr>
              <w:t>2</w:t>
            </w:r>
            <w:r w:rsidRPr="003E660F">
              <w:rPr>
                <w:rFonts w:cs="Times New Roman"/>
              </w:rPr>
              <w:t>) = 0.5</w:t>
            </w:r>
          </w:p>
        </w:tc>
        <w:tc>
          <w:tcPr>
            <w:tcW w:w="2232" w:type="dxa"/>
          </w:tcPr>
          <w:p w14:paraId="0BDF9B19" w14:textId="77777777" w:rsidR="00690BD0" w:rsidRPr="003E660F" w:rsidRDefault="00690BD0" w:rsidP="000E0EFB">
            <w:pPr>
              <w:spacing w:line="360" w:lineRule="auto"/>
              <w:jc w:val="both"/>
              <w:rPr>
                <w:rFonts w:cs="Times New Roman"/>
              </w:rPr>
            </w:pPr>
          </w:p>
        </w:tc>
      </w:tr>
      <w:tr w:rsidR="00690BD0" w:rsidRPr="003E660F" w14:paraId="11D8C86B" w14:textId="77777777" w:rsidTr="00782273">
        <w:tc>
          <w:tcPr>
            <w:tcW w:w="1693" w:type="dxa"/>
          </w:tcPr>
          <w:p w14:paraId="714BD6FC" w14:textId="46065AF1" w:rsidR="00690BD0" w:rsidRPr="00D2268E" w:rsidRDefault="00690BD0" w:rsidP="000E0EFB">
            <w:pPr>
              <w:spacing w:line="360" w:lineRule="auto"/>
              <w:jc w:val="both"/>
              <w:rPr>
                <w:rFonts w:cs="Times New Roman"/>
                <w:i/>
              </w:rPr>
            </w:pPr>
            <w:r w:rsidRPr="00D2268E">
              <w:rPr>
                <w:rFonts w:cs="Times New Roman"/>
                <w:i/>
              </w:rPr>
              <w:t>Large gift to Chris if HEADS</w:t>
            </w:r>
          </w:p>
        </w:tc>
        <w:tc>
          <w:tcPr>
            <w:tcW w:w="2409" w:type="dxa"/>
          </w:tcPr>
          <w:p w14:paraId="5C8967C0" w14:textId="03EAC61B" w:rsidR="00690BD0" w:rsidRDefault="00690BD0" w:rsidP="000E0EFB">
            <w:pPr>
              <w:spacing w:line="360" w:lineRule="auto"/>
              <w:jc w:val="both"/>
              <w:rPr>
                <w:rFonts w:cs="Times New Roman"/>
              </w:rPr>
            </w:pPr>
            <w:r>
              <w:rPr>
                <w:rFonts w:cs="Times New Roman"/>
              </w:rPr>
              <w:t>Chris: 30</w:t>
            </w:r>
          </w:p>
          <w:p w14:paraId="1F85E667" w14:textId="6168156D" w:rsidR="00690BD0" w:rsidRPr="003E660F" w:rsidRDefault="00690BD0" w:rsidP="000E0EFB">
            <w:pPr>
              <w:spacing w:line="360" w:lineRule="auto"/>
              <w:jc w:val="both"/>
              <w:rPr>
                <w:rFonts w:cs="Times New Roman"/>
              </w:rPr>
            </w:pPr>
            <w:r>
              <w:rPr>
                <w:rFonts w:cs="Times New Roman"/>
              </w:rPr>
              <w:t>Dom: 0</w:t>
            </w:r>
          </w:p>
        </w:tc>
        <w:tc>
          <w:tcPr>
            <w:tcW w:w="2682" w:type="dxa"/>
          </w:tcPr>
          <w:p w14:paraId="399ACF7A" w14:textId="77777777" w:rsidR="00690BD0" w:rsidRDefault="00690BD0" w:rsidP="000E0EFB">
            <w:pPr>
              <w:spacing w:line="360" w:lineRule="auto"/>
              <w:jc w:val="both"/>
              <w:rPr>
                <w:rFonts w:cs="Times New Roman"/>
              </w:rPr>
            </w:pPr>
            <w:r>
              <w:rPr>
                <w:rFonts w:cs="Times New Roman"/>
              </w:rPr>
              <w:t>Chris: 0</w:t>
            </w:r>
          </w:p>
          <w:p w14:paraId="55ED382A" w14:textId="4804DDAF" w:rsidR="00690BD0" w:rsidRPr="003E660F" w:rsidRDefault="00690BD0" w:rsidP="000E0EFB">
            <w:pPr>
              <w:spacing w:line="360" w:lineRule="auto"/>
              <w:jc w:val="both"/>
              <w:rPr>
                <w:rFonts w:cs="Times New Roman"/>
              </w:rPr>
            </w:pPr>
            <w:r>
              <w:rPr>
                <w:rFonts w:cs="Times New Roman"/>
              </w:rPr>
              <w:t>Dom: 0</w:t>
            </w:r>
          </w:p>
        </w:tc>
        <w:tc>
          <w:tcPr>
            <w:tcW w:w="2232" w:type="dxa"/>
          </w:tcPr>
          <w:p w14:paraId="7401F189" w14:textId="4FE967C4" w:rsidR="00690BD0" w:rsidRDefault="00690BD0" w:rsidP="000E0EFB">
            <w:pPr>
              <w:spacing w:line="360" w:lineRule="auto"/>
              <w:jc w:val="both"/>
              <w:rPr>
                <w:rFonts w:cs="Times New Roman"/>
              </w:rPr>
            </w:pPr>
            <w:r>
              <w:rPr>
                <w:rFonts w:cs="Times New Roman"/>
              </w:rPr>
              <w:t>Chris: 15</w:t>
            </w:r>
          </w:p>
          <w:p w14:paraId="2C609FA2" w14:textId="274D3E7B" w:rsidR="00690BD0" w:rsidRPr="003E660F" w:rsidRDefault="00690BD0" w:rsidP="000E0EFB">
            <w:pPr>
              <w:spacing w:line="360" w:lineRule="auto"/>
              <w:jc w:val="both"/>
              <w:rPr>
                <w:rFonts w:cs="Times New Roman"/>
              </w:rPr>
            </w:pPr>
            <w:r>
              <w:rPr>
                <w:rFonts w:cs="Times New Roman"/>
              </w:rPr>
              <w:t>Dom: 0</w:t>
            </w:r>
          </w:p>
        </w:tc>
      </w:tr>
      <w:tr w:rsidR="00690BD0" w:rsidRPr="003E660F" w14:paraId="7DCF086A" w14:textId="77777777" w:rsidTr="00782273">
        <w:tc>
          <w:tcPr>
            <w:tcW w:w="1693" w:type="dxa"/>
          </w:tcPr>
          <w:p w14:paraId="448D7E0C" w14:textId="6B40A9DB" w:rsidR="00690BD0" w:rsidRPr="00D2268E" w:rsidRDefault="00690BD0" w:rsidP="000E0EFB">
            <w:pPr>
              <w:spacing w:line="360" w:lineRule="auto"/>
              <w:jc w:val="both"/>
              <w:rPr>
                <w:rFonts w:cs="Times New Roman"/>
                <w:i/>
              </w:rPr>
            </w:pPr>
            <w:r w:rsidRPr="00D2268E">
              <w:rPr>
                <w:rFonts w:cs="Times New Roman"/>
                <w:i/>
              </w:rPr>
              <w:t>Small gift to both</w:t>
            </w:r>
          </w:p>
        </w:tc>
        <w:tc>
          <w:tcPr>
            <w:tcW w:w="2409" w:type="dxa"/>
          </w:tcPr>
          <w:p w14:paraId="1870121C" w14:textId="77777777" w:rsidR="00690BD0" w:rsidRDefault="00690BD0" w:rsidP="000E0EFB">
            <w:pPr>
              <w:spacing w:line="360" w:lineRule="auto"/>
              <w:jc w:val="both"/>
              <w:rPr>
                <w:rFonts w:cs="Times New Roman"/>
              </w:rPr>
            </w:pPr>
            <w:r>
              <w:rPr>
                <w:rFonts w:cs="Times New Roman"/>
              </w:rPr>
              <w:t>Chris: 3</w:t>
            </w:r>
          </w:p>
          <w:p w14:paraId="67ACEC40" w14:textId="1A99427F" w:rsidR="00690BD0" w:rsidRPr="003E660F" w:rsidRDefault="00690BD0" w:rsidP="000E0EFB">
            <w:pPr>
              <w:spacing w:line="360" w:lineRule="auto"/>
              <w:jc w:val="both"/>
              <w:rPr>
                <w:rFonts w:cs="Times New Roman"/>
              </w:rPr>
            </w:pPr>
            <w:r>
              <w:rPr>
                <w:rFonts w:cs="Times New Roman"/>
              </w:rPr>
              <w:t>Dom: 3</w:t>
            </w:r>
          </w:p>
        </w:tc>
        <w:tc>
          <w:tcPr>
            <w:tcW w:w="2682" w:type="dxa"/>
          </w:tcPr>
          <w:p w14:paraId="0CA66A26" w14:textId="77777777" w:rsidR="00690BD0" w:rsidRDefault="00690BD0" w:rsidP="000E0EFB">
            <w:pPr>
              <w:spacing w:line="360" w:lineRule="auto"/>
              <w:jc w:val="both"/>
              <w:rPr>
                <w:rFonts w:cs="Times New Roman"/>
              </w:rPr>
            </w:pPr>
            <w:r>
              <w:rPr>
                <w:rFonts w:cs="Times New Roman"/>
              </w:rPr>
              <w:t>Chris: 3</w:t>
            </w:r>
          </w:p>
          <w:p w14:paraId="6C43B0ED" w14:textId="5C0E40D2" w:rsidR="00690BD0" w:rsidRPr="003E660F" w:rsidRDefault="00690BD0" w:rsidP="000E0EFB">
            <w:pPr>
              <w:spacing w:line="360" w:lineRule="auto"/>
              <w:jc w:val="both"/>
              <w:rPr>
                <w:rFonts w:cs="Times New Roman"/>
              </w:rPr>
            </w:pPr>
            <w:r>
              <w:rPr>
                <w:rFonts w:cs="Times New Roman"/>
              </w:rPr>
              <w:t>Dom: 3</w:t>
            </w:r>
          </w:p>
        </w:tc>
        <w:tc>
          <w:tcPr>
            <w:tcW w:w="2232" w:type="dxa"/>
          </w:tcPr>
          <w:p w14:paraId="06310BE0" w14:textId="77777777" w:rsidR="00690BD0" w:rsidRDefault="00690BD0" w:rsidP="000E0EFB">
            <w:pPr>
              <w:spacing w:line="360" w:lineRule="auto"/>
              <w:jc w:val="both"/>
              <w:rPr>
                <w:rFonts w:cs="Times New Roman"/>
              </w:rPr>
            </w:pPr>
            <w:r>
              <w:rPr>
                <w:rFonts w:cs="Times New Roman"/>
              </w:rPr>
              <w:t>Chris: 3</w:t>
            </w:r>
          </w:p>
          <w:p w14:paraId="74A8764B" w14:textId="53C44805" w:rsidR="00690BD0" w:rsidRPr="003E660F" w:rsidRDefault="00690BD0" w:rsidP="000E0EFB">
            <w:pPr>
              <w:spacing w:line="360" w:lineRule="auto"/>
              <w:jc w:val="both"/>
              <w:rPr>
                <w:rFonts w:cs="Times New Roman"/>
              </w:rPr>
            </w:pPr>
            <w:r>
              <w:rPr>
                <w:rFonts w:cs="Times New Roman"/>
              </w:rPr>
              <w:t>Dom: 3</w:t>
            </w:r>
          </w:p>
        </w:tc>
      </w:tr>
    </w:tbl>
    <w:p w14:paraId="0A82BD60" w14:textId="4590FCCE" w:rsidR="00690BD0" w:rsidRPr="00AB3A1B" w:rsidRDefault="00690BD0" w:rsidP="001859AE">
      <w:pPr>
        <w:jc w:val="both"/>
        <w:rPr>
          <w:rFonts w:cs="Times New Roman"/>
          <w:i/>
        </w:rPr>
      </w:pPr>
      <w:r w:rsidRPr="003E660F">
        <w:rPr>
          <w:rFonts w:cs="Times New Roman"/>
        </w:rPr>
        <w:t xml:space="preserve"> </w:t>
      </w:r>
      <w:r>
        <w:rPr>
          <w:rFonts w:cs="Times New Roman"/>
          <w:i/>
        </w:rPr>
        <w:t>Table 3</w:t>
      </w:r>
    </w:p>
    <w:p w14:paraId="248E1B02" w14:textId="45FB88AB" w:rsidR="00690BD0" w:rsidRDefault="00690BD0" w:rsidP="001859AE">
      <w:pPr>
        <w:jc w:val="both"/>
        <w:rPr>
          <w:rFonts w:cs="Times New Roman"/>
        </w:rPr>
      </w:pPr>
      <w:r>
        <w:rPr>
          <w:rFonts w:cs="Times New Roman"/>
        </w:rPr>
        <w:t xml:space="preserve">Here we can see that </w:t>
      </w:r>
      <w:r>
        <w:rPr>
          <w:rFonts w:cs="Times New Roman"/>
          <w:i/>
          <w:iCs/>
        </w:rPr>
        <w:t>Large gift to Chris if HEADS</w:t>
      </w:r>
      <w:r>
        <w:rPr>
          <w:rFonts w:cs="Times New Roman"/>
        </w:rPr>
        <w:t xml:space="preserve"> has greater total prospects (15+0=15) than </w:t>
      </w:r>
      <w:r>
        <w:rPr>
          <w:rFonts w:cs="Times New Roman"/>
          <w:i/>
          <w:iCs/>
        </w:rPr>
        <w:t xml:space="preserve">Small gift to both </w:t>
      </w:r>
      <w:r>
        <w:rPr>
          <w:rFonts w:cs="Times New Roman"/>
        </w:rPr>
        <w:t xml:space="preserve">(3+3=6) for the designator set {‘Chris’, ‘Dom’}. And yet </w:t>
      </w:r>
      <w:r>
        <w:rPr>
          <w:rFonts w:cs="Times New Roman"/>
          <w:i/>
          <w:iCs/>
        </w:rPr>
        <w:t>Large gift to Chris if HEADS</w:t>
      </w:r>
      <w:r>
        <w:rPr>
          <w:rFonts w:cs="Times New Roman"/>
        </w:rPr>
        <w:t xml:space="preserve"> is not </w:t>
      </w:r>
      <w:r>
        <w:rPr>
          <w:rFonts w:cs="Times New Roman"/>
          <w:i/>
          <w:iCs/>
        </w:rPr>
        <w:t>ex ante</w:t>
      </w:r>
      <w:r>
        <w:rPr>
          <w:rFonts w:cs="Times New Roman"/>
        </w:rPr>
        <w:t xml:space="preserve"> Pareto superior</w:t>
      </w:r>
      <w:r>
        <w:rPr>
          <w:rFonts w:cs="Times New Roman"/>
          <w:vertAlign w:val="subscript"/>
        </w:rPr>
        <w:t>sup</w:t>
      </w:r>
      <w:r>
        <w:rPr>
          <w:rFonts w:cs="Times New Roman"/>
        </w:rPr>
        <w:t xml:space="preserve"> to </w:t>
      </w:r>
      <w:r>
        <w:rPr>
          <w:rFonts w:cs="Times New Roman"/>
          <w:i/>
          <w:iCs/>
        </w:rPr>
        <w:t>Small gift to both</w:t>
      </w:r>
      <w:r>
        <w:rPr>
          <w:rFonts w:cs="Times New Roman"/>
        </w:rPr>
        <w:t xml:space="preserve">, because it is not </w:t>
      </w:r>
      <w:r>
        <w:rPr>
          <w:rFonts w:cs="Times New Roman"/>
          <w:i/>
          <w:iCs/>
        </w:rPr>
        <w:t>ex ante</w:t>
      </w:r>
      <w:r>
        <w:rPr>
          <w:rFonts w:cs="Times New Roman"/>
        </w:rPr>
        <w:t xml:space="preserve"> Pareto superior relative to the set {‘Chris’, ‘Dom’}, and given that we are using the supervaluationist reading, it must be </w:t>
      </w:r>
      <w:r>
        <w:rPr>
          <w:rFonts w:cs="Times New Roman"/>
          <w:i/>
          <w:iCs/>
        </w:rPr>
        <w:t>ex ante</w:t>
      </w:r>
      <w:r>
        <w:rPr>
          <w:rFonts w:cs="Times New Roman"/>
        </w:rPr>
        <w:t xml:space="preserve"> Pareto superior to </w:t>
      </w:r>
      <w:r>
        <w:rPr>
          <w:rFonts w:cs="Times New Roman"/>
          <w:i/>
          <w:iCs/>
        </w:rPr>
        <w:t xml:space="preserve">every </w:t>
      </w:r>
      <w:r>
        <w:rPr>
          <w:rFonts w:cs="Times New Roman"/>
        </w:rPr>
        <w:t xml:space="preserve">set in C to count as </w:t>
      </w:r>
      <w:r>
        <w:rPr>
          <w:rFonts w:cs="Times New Roman"/>
          <w:i/>
          <w:iCs/>
        </w:rPr>
        <w:t xml:space="preserve">ex ante </w:t>
      </w:r>
      <w:r>
        <w:rPr>
          <w:rFonts w:cs="Times New Roman"/>
        </w:rPr>
        <w:t>Pareto superior</w:t>
      </w:r>
      <w:r>
        <w:rPr>
          <w:rFonts w:cs="Times New Roman"/>
          <w:vertAlign w:val="subscript"/>
        </w:rPr>
        <w:t>sup</w:t>
      </w:r>
      <w:r>
        <w:rPr>
          <w:rFonts w:cs="Times New Roman"/>
        </w:rPr>
        <w:t xml:space="preserve">. Thus – unlike on the subvaluationist reading – on the supervaluationist reading greater total prospects does not guarantee that a policy is </w:t>
      </w:r>
      <w:r>
        <w:rPr>
          <w:rFonts w:cs="Times New Roman"/>
          <w:i/>
          <w:iCs/>
        </w:rPr>
        <w:t>ex ante</w:t>
      </w:r>
      <w:r>
        <w:rPr>
          <w:rFonts w:cs="Times New Roman"/>
        </w:rPr>
        <w:t xml:space="preserve"> Pareto superior. </w:t>
      </w:r>
    </w:p>
    <w:p w14:paraId="0C228DEB" w14:textId="77777777" w:rsidR="00690BD0" w:rsidRDefault="00690BD0" w:rsidP="001859AE">
      <w:pPr>
        <w:jc w:val="both"/>
        <w:rPr>
          <w:rFonts w:cs="Times New Roman"/>
          <w:i/>
          <w:u w:val="single"/>
        </w:rPr>
      </w:pPr>
    </w:p>
    <w:p w14:paraId="6C5930C7" w14:textId="32C9AECB" w:rsidR="00690BD0" w:rsidRDefault="00690BD0" w:rsidP="001859AE">
      <w:pPr>
        <w:pStyle w:val="Heading3"/>
        <w:jc w:val="both"/>
      </w:pPr>
      <w:r w:rsidRPr="003E660F">
        <w:rPr>
          <w:i/>
        </w:rPr>
        <w:t>Ex post</w:t>
      </w:r>
      <w:r w:rsidRPr="003E660F">
        <w:t xml:space="preserve"> </w:t>
      </w:r>
      <w:r>
        <w:t>Pareto</w:t>
      </w:r>
    </w:p>
    <w:p w14:paraId="48E61CA8" w14:textId="06C00A47" w:rsidR="00690BD0" w:rsidRDefault="00690BD0" w:rsidP="001859AE">
      <w:pPr>
        <w:jc w:val="both"/>
        <w:rPr>
          <w:rFonts w:cs="Times New Roman"/>
        </w:rPr>
      </w:pPr>
      <w:r>
        <w:rPr>
          <w:rFonts w:cs="Times New Roman"/>
        </w:rPr>
        <w:t>Policy P</w:t>
      </w:r>
      <w:r w:rsidRPr="00BC6144">
        <w:rPr>
          <w:rFonts w:cs="Times New Roman"/>
          <w:i/>
          <w:vertAlign w:val="subscript"/>
        </w:rPr>
        <w:t>x</w:t>
      </w:r>
      <w:r>
        <w:rPr>
          <w:rFonts w:cs="Times New Roman"/>
        </w:rPr>
        <w:t xml:space="preserve"> is </w:t>
      </w:r>
      <w:r>
        <w:rPr>
          <w:rFonts w:cs="Times New Roman"/>
          <w:i/>
          <w:iCs/>
        </w:rPr>
        <w:t>ex post</w:t>
      </w:r>
      <w:r>
        <w:rPr>
          <w:rFonts w:cs="Times New Roman"/>
        </w:rPr>
        <w:t xml:space="preserve"> Pareto superior to</w:t>
      </w:r>
      <w:r w:rsidRPr="00BC6144">
        <w:rPr>
          <w:rFonts w:cs="Times New Roman"/>
          <w:i/>
          <w:vertAlign w:val="subscript"/>
        </w:rPr>
        <w:t xml:space="preserve"> </w:t>
      </w:r>
      <w:r w:rsidRPr="00BC6144">
        <w:rPr>
          <w:rFonts w:cs="Times New Roman"/>
        </w:rPr>
        <w:t>P</w:t>
      </w:r>
      <w:r w:rsidRPr="00BC6144">
        <w:rPr>
          <w:rFonts w:cs="Times New Roman"/>
          <w:i/>
          <w:vertAlign w:val="subscript"/>
        </w:rPr>
        <w:t xml:space="preserve">y </w:t>
      </w:r>
      <w:r>
        <w:rPr>
          <w:rFonts w:cs="Times New Roman"/>
        </w:rPr>
        <w:t>iff for every person the actual (rather than expected) welfare under P</w:t>
      </w:r>
      <w:r w:rsidRPr="00BC6144">
        <w:rPr>
          <w:rFonts w:cs="Times New Roman"/>
          <w:i/>
          <w:vertAlign w:val="subscript"/>
        </w:rPr>
        <w:t>x</w:t>
      </w:r>
      <w:r>
        <w:rPr>
          <w:rFonts w:cs="Times New Roman"/>
        </w:rPr>
        <w:t xml:space="preserve"> is at least as good as the actual welfare under P</w:t>
      </w:r>
      <w:r>
        <w:rPr>
          <w:rFonts w:cs="Times New Roman"/>
          <w:i/>
          <w:iCs/>
          <w:vertAlign w:val="subscript"/>
        </w:rPr>
        <w:t>y</w:t>
      </w:r>
      <w:r>
        <w:rPr>
          <w:rFonts w:cs="Times New Roman"/>
        </w:rPr>
        <w:t>, and for at least one person the actual welfare under P</w:t>
      </w:r>
      <w:r w:rsidRPr="00BC6144">
        <w:rPr>
          <w:rFonts w:cs="Times New Roman"/>
          <w:i/>
          <w:vertAlign w:val="subscript"/>
        </w:rPr>
        <w:t>x</w:t>
      </w:r>
      <w:r>
        <w:rPr>
          <w:rFonts w:cs="Times New Roman"/>
        </w:rPr>
        <w:t xml:space="preserve"> is better than the actual welfare under P</w:t>
      </w:r>
      <w:r>
        <w:rPr>
          <w:rFonts w:cs="Times New Roman"/>
          <w:i/>
          <w:iCs/>
          <w:vertAlign w:val="subscript"/>
        </w:rPr>
        <w:t>y</w:t>
      </w:r>
      <w:r>
        <w:rPr>
          <w:rFonts w:cs="Times New Roman"/>
        </w:rPr>
        <w:t xml:space="preserve">. We do not need to worry about rival sets of designators when we are dealing with </w:t>
      </w:r>
      <w:r>
        <w:rPr>
          <w:rFonts w:cs="Times New Roman"/>
          <w:i/>
          <w:iCs/>
        </w:rPr>
        <w:t>ex post</w:t>
      </w:r>
      <w:r>
        <w:rPr>
          <w:rFonts w:cs="Times New Roman"/>
        </w:rPr>
        <w:t xml:space="preserve"> Pareto superiority, because a person’s </w:t>
      </w:r>
      <w:r>
        <w:rPr>
          <w:rFonts w:cs="Times New Roman"/>
          <w:i/>
          <w:iCs/>
        </w:rPr>
        <w:t>actual</w:t>
      </w:r>
      <w:r>
        <w:rPr>
          <w:rFonts w:cs="Times New Roman"/>
        </w:rPr>
        <w:t xml:space="preserve"> (as opposed to expected) welfare does not </w:t>
      </w:r>
      <w:r>
        <w:rPr>
          <w:rFonts w:cs="Times New Roman"/>
        </w:rPr>
        <w:lastRenderedPageBreak/>
        <w:t xml:space="preserve">depend on how (s)he is designated: if Alice is Ms Smith, then obviously whatever welfare Alice ends up with, Ms Smith will end up with the very same. </w:t>
      </w:r>
    </w:p>
    <w:p w14:paraId="7A0E44B9" w14:textId="37C7C1E7" w:rsidR="00690BD0" w:rsidRPr="001859AE" w:rsidRDefault="00690BD0" w:rsidP="001859AE">
      <w:pPr>
        <w:jc w:val="both"/>
      </w:pPr>
      <w:r>
        <w:rPr>
          <w:rFonts w:cs="Times New Roman"/>
        </w:rPr>
        <w:t xml:space="preserve">The relation of </w:t>
      </w:r>
      <w:r>
        <w:rPr>
          <w:rFonts w:cs="Times New Roman"/>
          <w:i/>
          <w:iCs/>
        </w:rPr>
        <w:t>ex ante</w:t>
      </w:r>
      <w:r>
        <w:rPr>
          <w:rFonts w:cs="Times New Roman"/>
        </w:rPr>
        <w:t xml:space="preserve"> Pareto superiority</w:t>
      </w:r>
      <w:r>
        <w:rPr>
          <w:rFonts w:cs="Times New Roman"/>
          <w:vertAlign w:val="subscript"/>
        </w:rPr>
        <w:t>sup</w:t>
      </w:r>
      <w:r>
        <w:rPr>
          <w:rFonts w:cs="Times New Roman"/>
        </w:rPr>
        <w:t xml:space="preserve"> neither guarantees nor is guaranteed by a relation of </w:t>
      </w:r>
      <w:r>
        <w:rPr>
          <w:rFonts w:cs="Times New Roman"/>
          <w:i/>
          <w:iCs/>
        </w:rPr>
        <w:t>ex post</w:t>
      </w:r>
      <w:r>
        <w:rPr>
          <w:rFonts w:cs="Times New Roman"/>
        </w:rPr>
        <w:t xml:space="preserve"> Pareto superiority. That is: </w:t>
      </w:r>
    </w:p>
    <w:p w14:paraId="2FA19A61" w14:textId="04091F23" w:rsidR="00690BD0" w:rsidRPr="001045BD" w:rsidRDefault="00690BD0" w:rsidP="001859AE">
      <w:pPr>
        <w:pStyle w:val="ListParagraph"/>
        <w:numPr>
          <w:ilvl w:val="0"/>
          <w:numId w:val="26"/>
        </w:numPr>
        <w:jc w:val="both"/>
        <w:rPr>
          <w:rFonts w:cs="Times New Roman"/>
        </w:rPr>
      </w:pPr>
      <w:r w:rsidRPr="001045BD">
        <w:rPr>
          <w:rFonts w:cs="Times New Roman"/>
        </w:rPr>
        <w:t>From the claim that a policy</w:t>
      </w:r>
      <w:r>
        <w:rPr>
          <w:rFonts w:cs="Times New Roman"/>
        </w:rPr>
        <w:t xml:space="preserve"> P</w:t>
      </w:r>
      <w:r w:rsidRPr="00BC6144">
        <w:rPr>
          <w:rFonts w:cs="Times New Roman"/>
          <w:i/>
          <w:vertAlign w:val="subscript"/>
        </w:rPr>
        <w:t>x</w:t>
      </w:r>
      <w:r>
        <w:rPr>
          <w:rFonts w:cs="Times New Roman"/>
        </w:rPr>
        <w:t xml:space="preserve"> </w:t>
      </w:r>
      <w:r w:rsidRPr="001045BD">
        <w:rPr>
          <w:rFonts w:cs="Times New Roman"/>
        </w:rPr>
        <w:t xml:space="preserve">is </w:t>
      </w:r>
      <w:r w:rsidRPr="001045BD">
        <w:rPr>
          <w:rFonts w:cs="Times New Roman"/>
          <w:i/>
        </w:rPr>
        <w:t xml:space="preserve">ex </w:t>
      </w:r>
      <w:r>
        <w:rPr>
          <w:rFonts w:cs="Times New Roman"/>
          <w:i/>
        </w:rPr>
        <w:t>post</w:t>
      </w:r>
      <w:r w:rsidRPr="001045BD">
        <w:rPr>
          <w:rFonts w:cs="Times New Roman"/>
        </w:rPr>
        <w:t xml:space="preserve"> </w:t>
      </w:r>
      <w:r>
        <w:rPr>
          <w:rFonts w:cs="Times New Roman"/>
        </w:rPr>
        <w:t>Pareto</w:t>
      </w:r>
      <w:r w:rsidRPr="001045BD">
        <w:rPr>
          <w:rFonts w:cs="Times New Roman"/>
        </w:rPr>
        <w:t xml:space="preserve"> superior to </w:t>
      </w:r>
      <w:r>
        <w:rPr>
          <w:rFonts w:cs="Times New Roman"/>
        </w:rPr>
        <w:t>P</w:t>
      </w:r>
      <w:r>
        <w:rPr>
          <w:rFonts w:cs="Times New Roman"/>
          <w:i/>
          <w:iCs/>
          <w:vertAlign w:val="subscript"/>
        </w:rPr>
        <w:t>y</w:t>
      </w:r>
      <w:r w:rsidRPr="001045BD">
        <w:rPr>
          <w:rFonts w:cs="Times New Roman"/>
        </w:rPr>
        <w:t>, it does not follow that policy</w:t>
      </w:r>
      <w:r>
        <w:rPr>
          <w:rFonts w:cs="Times New Roman"/>
        </w:rPr>
        <w:t xml:space="preserve"> P</w:t>
      </w:r>
      <w:r w:rsidRPr="00BC6144">
        <w:rPr>
          <w:rFonts w:cs="Times New Roman"/>
          <w:i/>
          <w:vertAlign w:val="subscript"/>
        </w:rPr>
        <w:t>x</w:t>
      </w:r>
      <w:r>
        <w:rPr>
          <w:rFonts w:cs="Times New Roman"/>
        </w:rPr>
        <w:t xml:space="preserve"> </w:t>
      </w:r>
      <w:r w:rsidRPr="001045BD">
        <w:rPr>
          <w:rFonts w:cs="Times New Roman"/>
        </w:rPr>
        <w:t xml:space="preserve">is </w:t>
      </w:r>
      <w:r>
        <w:rPr>
          <w:rFonts w:cs="Times New Roman"/>
          <w:i/>
          <w:iCs/>
        </w:rPr>
        <w:t>ex ante</w:t>
      </w:r>
      <w:r w:rsidRPr="001045BD">
        <w:rPr>
          <w:rFonts w:cs="Times New Roman"/>
        </w:rPr>
        <w:t xml:space="preserve"> </w:t>
      </w:r>
      <w:r>
        <w:rPr>
          <w:rFonts w:cs="Times New Roman"/>
        </w:rPr>
        <w:t>Pareto</w:t>
      </w:r>
      <w:r w:rsidRPr="001045BD">
        <w:rPr>
          <w:rFonts w:cs="Times New Roman"/>
        </w:rPr>
        <w:t xml:space="preserve"> superior</w:t>
      </w:r>
      <w:r>
        <w:rPr>
          <w:rFonts w:cs="Times New Roman"/>
          <w:vertAlign w:val="subscript"/>
        </w:rPr>
        <w:t>sup</w:t>
      </w:r>
      <w:r>
        <w:rPr>
          <w:rFonts w:cs="Times New Roman"/>
        </w:rPr>
        <w:t xml:space="preserve"> to</w:t>
      </w:r>
      <w:r w:rsidRPr="00BC6144">
        <w:rPr>
          <w:rFonts w:cs="Times New Roman"/>
          <w:i/>
          <w:vertAlign w:val="subscript"/>
        </w:rPr>
        <w:t xml:space="preserve"> </w:t>
      </w:r>
      <w:r w:rsidRPr="00BC6144">
        <w:rPr>
          <w:rFonts w:cs="Times New Roman"/>
        </w:rPr>
        <w:t>P</w:t>
      </w:r>
      <w:r w:rsidRPr="00BC6144">
        <w:rPr>
          <w:rFonts w:cs="Times New Roman"/>
          <w:i/>
          <w:vertAlign w:val="subscript"/>
        </w:rPr>
        <w:t xml:space="preserve">y </w:t>
      </w:r>
    </w:p>
    <w:p w14:paraId="757D7152" w14:textId="3DFBEFCE" w:rsidR="00690BD0" w:rsidRDefault="00690BD0" w:rsidP="001859AE">
      <w:pPr>
        <w:pStyle w:val="ListParagraph"/>
        <w:numPr>
          <w:ilvl w:val="0"/>
          <w:numId w:val="26"/>
        </w:numPr>
        <w:jc w:val="both"/>
        <w:rPr>
          <w:rFonts w:cs="Times New Roman"/>
        </w:rPr>
      </w:pPr>
      <w:r w:rsidRPr="001045BD">
        <w:rPr>
          <w:rFonts w:cs="Times New Roman"/>
        </w:rPr>
        <w:t>From the claim that a policy</w:t>
      </w:r>
      <w:r>
        <w:rPr>
          <w:rFonts w:cs="Times New Roman"/>
        </w:rPr>
        <w:t xml:space="preserve"> P</w:t>
      </w:r>
      <w:r w:rsidRPr="00BC6144">
        <w:rPr>
          <w:rFonts w:cs="Times New Roman"/>
          <w:i/>
          <w:vertAlign w:val="subscript"/>
        </w:rPr>
        <w:t>x</w:t>
      </w:r>
      <w:r>
        <w:rPr>
          <w:rFonts w:cs="Times New Roman"/>
        </w:rPr>
        <w:t xml:space="preserve"> </w:t>
      </w:r>
      <w:r w:rsidRPr="001045BD">
        <w:rPr>
          <w:rFonts w:cs="Times New Roman"/>
        </w:rPr>
        <w:t xml:space="preserve">is </w:t>
      </w:r>
      <w:r>
        <w:rPr>
          <w:rFonts w:cs="Times New Roman"/>
          <w:i/>
        </w:rPr>
        <w:t>ex ante</w:t>
      </w:r>
      <w:r w:rsidRPr="001045BD">
        <w:rPr>
          <w:rFonts w:cs="Times New Roman"/>
        </w:rPr>
        <w:t xml:space="preserve"> </w:t>
      </w:r>
      <w:r>
        <w:rPr>
          <w:rFonts w:cs="Times New Roman"/>
        </w:rPr>
        <w:t>Pareto</w:t>
      </w:r>
      <w:r w:rsidRPr="001045BD">
        <w:rPr>
          <w:rFonts w:cs="Times New Roman"/>
        </w:rPr>
        <w:t xml:space="preserve"> superior</w:t>
      </w:r>
      <w:r>
        <w:rPr>
          <w:rFonts w:cs="Times New Roman"/>
          <w:vertAlign w:val="subscript"/>
        </w:rPr>
        <w:t>sup</w:t>
      </w:r>
      <w:r w:rsidRPr="001045BD">
        <w:rPr>
          <w:rFonts w:cs="Times New Roman"/>
        </w:rPr>
        <w:t xml:space="preserve"> to </w:t>
      </w:r>
      <w:r>
        <w:rPr>
          <w:rFonts w:cs="Times New Roman"/>
        </w:rPr>
        <w:t>P</w:t>
      </w:r>
      <w:r>
        <w:rPr>
          <w:rFonts w:cs="Times New Roman"/>
          <w:i/>
          <w:iCs/>
          <w:vertAlign w:val="subscript"/>
        </w:rPr>
        <w:t>y</w:t>
      </w:r>
      <w:r w:rsidRPr="001045BD">
        <w:rPr>
          <w:rFonts w:cs="Times New Roman"/>
        </w:rPr>
        <w:t>, it does not follow that policy</w:t>
      </w:r>
      <w:r>
        <w:rPr>
          <w:rFonts w:cs="Times New Roman"/>
        </w:rPr>
        <w:t xml:space="preserve"> P</w:t>
      </w:r>
      <w:r w:rsidRPr="00BC6144">
        <w:rPr>
          <w:rFonts w:cs="Times New Roman"/>
          <w:i/>
          <w:vertAlign w:val="subscript"/>
        </w:rPr>
        <w:t>x</w:t>
      </w:r>
      <w:r>
        <w:rPr>
          <w:rFonts w:cs="Times New Roman"/>
        </w:rPr>
        <w:t xml:space="preserve"> </w:t>
      </w:r>
      <w:r w:rsidRPr="001045BD">
        <w:rPr>
          <w:rFonts w:cs="Times New Roman"/>
        </w:rPr>
        <w:t xml:space="preserve">is </w:t>
      </w:r>
      <w:r w:rsidRPr="001045BD">
        <w:rPr>
          <w:rFonts w:cs="Times New Roman"/>
          <w:i/>
          <w:iCs/>
        </w:rPr>
        <w:t>ex post</w:t>
      </w:r>
      <w:r w:rsidRPr="001045BD">
        <w:rPr>
          <w:rFonts w:cs="Times New Roman"/>
        </w:rPr>
        <w:t xml:space="preserve"> </w:t>
      </w:r>
      <w:r>
        <w:rPr>
          <w:rFonts w:cs="Times New Roman"/>
        </w:rPr>
        <w:t>Pareto</w:t>
      </w:r>
      <w:r w:rsidRPr="001045BD">
        <w:rPr>
          <w:rFonts w:cs="Times New Roman"/>
        </w:rPr>
        <w:t xml:space="preserve"> superior</w:t>
      </w:r>
      <w:r w:rsidRPr="00BC6144">
        <w:rPr>
          <w:rFonts w:cs="Times New Roman"/>
          <w:i/>
          <w:vertAlign w:val="subscript"/>
        </w:rPr>
        <w:t xml:space="preserve"> </w:t>
      </w:r>
      <w:r w:rsidRPr="00BC6144">
        <w:rPr>
          <w:rFonts w:cs="Times New Roman"/>
        </w:rPr>
        <w:t>P</w:t>
      </w:r>
      <w:r w:rsidRPr="00BC6144">
        <w:rPr>
          <w:rFonts w:cs="Times New Roman"/>
          <w:i/>
          <w:vertAlign w:val="subscript"/>
        </w:rPr>
        <w:t xml:space="preserve">y </w:t>
      </w:r>
    </w:p>
    <w:p w14:paraId="20852EC2" w14:textId="6090146D" w:rsidR="00690BD0" w:rsidRDefault="00690BD0" w:rsidP="001859AE">
      <w:pPr>
        <w:jc w:val="both"/>
        <w:rPr>
          <w:rFonts w:cs="Times New Roman"/>
        </w:rPr>
      </w:pPr>
      <w:r>
        <w:rPr>
          <w:rFonts w:cs="Times New Roman"/>
        </w:rPr>
        <w:t xml:space="preserve">Here is an illustration with a population of just one person, Ethan. </w:t>
      </w:r>
    </w:p>
    <w:tbl>
      <w:tblPr>
        <w:tblStyle w:val="TableGrid"/>
        <w:tblW w:w="0" w:type="auto"/>
        <w:tblLook w:val="04A0" w:firstRow="1" w:lastRow="0" w:firstColumn="1" w:lastColumn="0" w:noHBand="0" w:noVBand="1"/>
      </w:tblPr>
      <w:tblGrid>
        <w:gridCol w:w="1693"/>
        <w:gridCol w:w="2409"/>
        <w:gridCol w:w="2682"/>
        <w:gridCol w:w="2232"/>
      </w:tblGrid>
      <w:tr w:rsidR="00690BD0" w:rsidRPr="003E660F" w14:paraId="3B4BE7DE" w14:textId="77777777" w:rsidTr="00782273">
        <w:trPr>
          <w:trHeight w:val="452"/>
        </w:trPr>
        <w:tc>
          <w:tcPr>
            <w:tcW w:w="1693" w:type="dxa"/>
          </w:tcPr>
          <w:p w14:paraId="74D40E0A" w14:textId="77777777" w:rsidR="00690BD0" w:rsidRPr="003E660F" w:rsidRDefault="00690BD0" w:rsidP="000E0EFB">
            <w:pPr>
              <w:spacing w:line="360" w:lineRule="auto"/>
              <w:jc w:val="both"/>
              <w:rPr>
                <w:rFonts w:cs="Times New Roman"/>
              </w:rPr>
            </w:pPr>
          </w:p>
        </w:tc>
        <w:tc>
          <w:tcPr>
            <w:tcW w:w="2409" w:type="dxa"/>
          </w:tcPr>
          <w:p w14:paraId="062B801C" w14:textId="77777777" w:rsidR="00690BD0" w:rsidRPr="003E660F" w:rsidRDefault="00690BD0" w:rsidP="000E0EFB">
            <w:pPr>
              <w:spacing w:line="360" w:lineRule="auto"/>
              <w:jc w:val="both"/>
              <w:rPr>
                <w:rFonts w:cs="Times New Roman"/>
              </w:rPr>
            </w:pPr>
            <w:r w:rsidRPr="003E660F">
              <w:rPr>
                <w:rFonts w:cs="Times New Roman"/>
              </w:rPr>
              <w:t>State S</w:t>
            </w:r>
            <w:r w:rsidRPr="003E660F">
              <w:rPr>
                <w:rFonts w:cs="Times New Roman"/>
                <w:vertAlign w:val="subscript"/>
              </w:rPr>
              <w:t>1</w:t>
            </w:r>
            <w:r w:rsidRPr="003E660F">
              <w:rPr>
                <w:rFonts w:cs="Times New Roman"/>
              </w:rPr>
              <w:t xml:space="preserve">: </w:t>
            </w:r>
            <w:r>
              <w:rPr>
                <w:rFonts w:cs="Times New Roman"/>
              </w:rPr>
              <w:t>HEADS</w:t>
            </w:r>
          </w:p>
        </w:tc>
        <w:tc>
          <w:tcPr>
            <w:tcW w:w="2682" w:type="dxa"/>
          </w:tcPr>
          <w:p w14:paraId="4DDE69FE" w14:textId="77777777" w:rsidR="00690BD0" w:rsidRPr="003E660F" w:rsidRDefault="00690BD0" w:rsidP="000E0EFB">
            <w:pPr>
              <w:spacing w:line="360" w:lineRule="auto"/>
              <w:jc w:val="both"/>
              <w:rPr>
                <w:rFonts w:cs="Times New Roman"/>
              </w:rPr>
            </w:pPr>
            <w:r w:rsidRPr="003E660F">
              <w:rPr>
                <w:rFonts w:cs="Times New Roman"/>
              </w:rPr>
              <w:t>State S</w:t>
            </w:r>
            <w:r w:rsidRPr="003E660F">
              <w:rPr>
                <w:rFonts w:cs="Times New Roman"/>
              </w:rPr>
              <w:softHyphen/>
            </w:r>
            <w:r w:rsidRPr="003E660F">
              <w:rPr>
                <w:rFonts w:cs="Times New Roman"/>
                <w:vertAlign w:val="subscript"/>
              </w:rPr>
              <w:t>2</w:t>
            </w:r>
            <w:r w:rsidRPr="003E660F">
              <w:rPr>
                <w:rFonts w:cs="Times New Roman"/>
              </w:rPr>
              <w:t xml:space="preserve">: </w:t>
            </w:r>
            <w:r>
              <w:rPr>
                <w:rFonts w:cs="Times New Roman"/>
              </w:rPr>
              <w:t>TAILS</w:t>
            </w:r>
          </w:p>
        </w:tc>
        <w:tc>
          <w:tcPr>
            <w:tcW w:w="2232" w:type="dxa"/>
          </w:tcPr>
          <w:p w14:paraId="68951B79" w14:textId="77777777" w:rsidR="00690BD0" w:rsidRPr="003E660F" w:rsidRDefault="00690BD0" w:rsidP="000E0EFB">
            <w:pPr>
              <w:spacing w:line="360" w:lineRule="auto"/>
              <w:jc w:val="both"/>
              <w:rPr>
                <w:rFonts w:cs="Times New Roman"/>
                <w:i/>
              </w:rPr>
            </w:pPr>
            <w:r w:rsidRPr="003E660F">
              <w:rPr>
                <w:rFonts w:cs="Times New Roman"/>
                <w:i/>
              </w:rPr>
              <w:t>Prospect</w:t>
            </w:r>
            <w:r>
              <w:rPr>
                <w:rFonts w:cs="Times New Roman"/>
                <w:i/>
              </w:rPr>
              <w:t>s</w:t>
            </w:r>
          </w:p>
        </w:tc>
      </w:tr>
      <w:tr w:rsidR="00690BD0" w:rsidRPr="003E660F" w14:paraId="4919EBA3" w14:textId="77777777" w:rsidTr="00782273">
        <w:tc>
          <w:tcPr>
            <w:tcW w:w="1693" w:type="dxa"/>
          </w:tcPr>
          <w:p w14:paraId="6A0B139A" w14:textId="77777777" w:rsidR="00690BD0" w:rsidRPr="003E660F" w:rsidRDefault="00690BD0" w:rsidP="000E0EFB">
            <w:pPr>
              <w:spacing w:line="360" w:lineRule="auto"/>
              <w:jc w:val="both"/>
              <w:rPr>
                <w:rFonts w:cs="Times New Roman"/>
                <w:i/>
              </w:rPr>
            </w:pPr>
          </w:p>
        </w:tc>
        <w:tc>
          <w:tcPr>
            <w:tcW w:w="2409" w:type="dxa"/>
          </w:tcPr>
          <w:p w14:paraId="45FBE09F" w14:textId="77777777" w:rsidR="00690BD0" w:rsidRPr="003E660F" w:rsidRDefault="00690BD0" w:rsidP="000E0EFB">
            <w:pPr>
              <w:spacing w:line="360" w:lineRule="auto"/>
              <w:jc w:val="both"/>
              <w:rPr>
                <w:rFonts w:cs="Times New Roman"/>
              </w:rPr>
            </w:pPr>
            <w:r w:rsidRPr="003E660F">
              <w:rPr>
                <w:rFonts w:cs="Times New Roman"/>
              </w:rPr>
              <w:t>P(S</w:t>
            </w:r>
            <w:r w:rsidRPr="003E660F">
              <w:rPr>
                <w:rFonts w:cs="Times New Roman"/>
                <w:vertAlign w:val="subscript"/>
              </w:rPr>
              <w:t>1</w:t>
            </w:r>
            <w:r w:rsidRPr="003E660F">
              <w:rPr>
                <w:rFonts w:cs="Times New Roman"/>
              </w:rPr>
              <w:t>) = 0.5</w:t>
            </w:r>
          </w:p>
        </w:tc>
        <w:tc>
          <w:tcPr>
            <w:tcW w:w="2682" w:type="dxa"/>
          </w:tcPr>
          <w:p w14:paraId="6AE52041" w14:textId="77777777" w:rsidR="00690BD0" w:rsidRPr="003E660F" w:rsidRDefault="00690BD0" w:rsidP="000E0EFB">
            <w:pPr>
              <w:spacing w:line="360" w:lineRule="auto"/>
              <w:jc w:val="both"/>
              <w:rPr>
                <w:rFonts w:cs="Times New Roman"/>
              </w:rPr>
            </w:pPr>
            <w:r w:rsidRPr="003E660F">
              <w:rPr>
                <w:rFonts w:cs="Times New Roman"/>
              </w:rPr>
              <w:t>P(S</w:t>
            </w:r>
            <w:r w:rsidRPr="003E660F">
              <w:rPr>
                <w:rFonts w:cs="Times New Roman"/>
                <w:vertAlign w:val="subscript"/>
              </w:rPr>
              <w:t>2</w:t>
            </w:r>
            <w:r w:rsidRPr="003E660F">
              <w:rPr>
                <w:rFonts w:cs="Times New Roman"/>
              </w:rPr>
              <w:t>) = 0.5</w:t>
            </w:r>
          </w:p>
        </w:tc>
        <w:tc>
          <w:tcPr>
            <w:tcW w:w="2232" w:type="dxa"/>
          </w:tcPr>
          <w:p w14:paraId="73135E6A" w14:textId="77777777" w:rsidR="00690BD0" w:rsidRPr="003E660F" w:rsidRDefault="00690BD0" w:rsidP="000E0EFB">
            <w:pPr>
              <w:spacing w:line="360" w:lineRule="auto"/>
              <w:jc w:val="both"/>
              <w:rPr>
                <w:rFonts w:cs="Times New Roman"/>
              </w:rPr>
            </w:pPr>
          </w:p>
        </w:tc>
      </w:tr>
      <w:tr w:rsidR="00690BD0" w:rsidRPr="003E660F" w14:paraId="412F7889" w14:textId="77777777" w:rsidTr="00782273">
        <w:tc>
          <w:tcPr>
            <w:tcW w:w="1693" w:type="dxa"/>
          </w:tcPr>
          <w:p w14:paraId="0271B20C" w14:textId="73D974B8" w:rsidR="00690BD0" w:rsidRPr="00D2268E" w:rsidRDefault="00690BD0" w:rsidP="000E0EFB">
            <w:pPr>
              <w:spacing w:line="360" w:lineRule="auto"/>
              <w:jc w:val="both"/>
              <w:rPr>
                <w:rFonts w:cs="Times New Roman"/>
                <w:i/>
              </w:rPr>
            </w:pPr>
            <w:r>
              <w:rPr>
                <w:rFonts w:cs="Times New Roman"/>
                <w:i/>
              </w:rPr>
              <w:t>Risk</w:t>
            </w:r>
          </w:p>
        </w:tc>
        <w:tc>
          <w:tcPr>
            <w:tcW w:w="2409" w:type="dxa"/>
          </w:tcPr>
          <w:p w14:paraId="3F1C7260" w14:textId="5DE67387" w:rsidR="00690BD0" w:rsidRPr="003E660F" w:rsidRDefault="00690BD0" w:rsidP="000E0EFB">
            <w:pPr>
              <w:spacing w:line="360" w:lineRule="auto"/>
              <w:jc w:val="both"/>
              <w:rPr>
                <w:rFonts w:cs="Times New Roman"/>
              </w:rPr>
            </w:pPr>
            <w:r>
              <w:rPr>
                <w:rFonts w:cs="Times New Roman"/>
              </w:rPr>
              <w:t>Ethan: 7</w:t>
            </w:r>
          </w:p>
        </w:tc>
        <w:tc>
          <w:tcPr>
            <w:tcW w:w="2682" w:type="dxa"/>
          </w:tcPr>
          <w:p w14:paraId="19A59577" w14:textId="0975399B" w:rsidR="00690BD0" w:rsidRPr="003E660F" w:rsidRDefault="00690BD0" w:rsidP="000E0EFB">
            <w:pPr>
              <w:spacing w:line="360" w:lineRule="auto"/>
              <w:jc w:val="both"/>
              <w:rPr>
                <w:rFonts w:cs="Times New Roman"/>
              </w:rPr>
            </w:pPr>
            <w:r>
              <w:rPr>
                <w:rFonts w:cs="Times New Roman"/>
              </w:rPr>
              <w:t>Ethan: 0</w:t>
            </w:r>
          </w:p>
        </w:tc>
        <w:tc>
          <w:tcPr>
            <w:tcW w:w="2232" w:type="dxa"/>
          </w:tcPr>
          <w:p w14:paraId="0E99E694" w14:textId="0D783AE6" w:rsidR="00690BD0" w:rsidRPr="003E660F" w:rsidRDefault="00690BD0" w:rsidP="000E0EFB">
            <w:pPr>
              <w:spacing w:line="360" w:lineRule="auto"/>
              <w:jc w:val="both"/>
              <w:rPr>
                <w:rFonts w:cs="Times New Roman"/>
              </w:rPr>
            </w:pPr>
            <w:r>
              <w:rPr>
                <w:rFonts w:cs="Times New Roman"/>
              </w:rPr>
              <w:t>Ethan: 0.35</w:t>
            </w:r>
          </w:p>
        </w:tc>
      </w:tr>
      <w:tr w:rsidR="00690BD0" w:rsidRPr="003E660F" w14:paraId="5452B948" w14:textId="77777777" w:rsidTr="00782273">
        <w:tc>
          <w:tcPr>
            <w:tcW w:w="1693" w:type="dxa"/>
          </w:tcPr>
          <w:p w14:paraId="552FED87" w14:textId="78E0C981" w:rsidR="00690BD0" w:rsidRPr="00D2268E" w:rsidRDefault="00690BD0" w:rsidP="000E0EFB">
            <w:pPr>
              <w:spacing w:line="360" w:lineRule="auto"/>
              <w:jc w:val="both"/>
              <w:rPr>
                <w:rFonts w:cs="Times New Roman"/>
                <w:i/>
              </w:rPr>
            </w:pPr>
            <w:r>
              <w:rPr>
                <w:rFonts w:cs="Times New Roman"/>
                <w:i/>
              </w:rPr>
              <w:t>Safe</w:t>
            </w:r>
          </w:p>
        </w:tc>
        <w:tc>
          <w:tcPr>
            <w:tcW w:w="2409" w:type="dxa"/>
          </w:tcPr>
          <w:p w14:paraId="75523974" w14:textId="6CEADEE0" w:rsidR="00690BD0" w:rsidRPr="003E660F" w:rsidRDefault="00690BD0" w:rsidP="000E0EFB">
            <w:pPr>
              <w:spacing w:line="360" w:lineRule="auto"/>
              <w:jc w:val="both"/>
              <w:rPr>
                <w:rFonts w:cs="Times New Roman"/>
              </w:rPr>
            </w:pPr>
            <w:r>
              <w:rPr>
                <w:rFonts w:cs="Times New Roman"/>
              </w:rPr>
              <w:t>Ethan: 4</w:t>
            </w:r>
          </w:p>
        </w:tc>
        <w:tc>
          <w:tcPr>
            <w:tcW w:w="2682" w:type="dxa"/>
          </w:tcPr>
          <w:p w14:paraId="4F7046DB" w14:textId="712F9718" w:rsidR="00690BD0" w:rsidRPr="003E660F" w:rsidRDefault="00690BD0" w:rsidP="000E0EFB">
            <w:pPr>
              <w:spacing w:line="360" w:lineRule="auto"/>
              <w:jc w:val="both"/>
              <w:rPr>
                <w:rFonts w:cs="Times New Roman"/>
              </w:rPr>
            </w:pPr>
            <w:r>
              <w:rPr>
                <w:rFonts w:cs="Times New Roman"/>
              </w:rPr>
              <w:t>Ethan: 4</w:t>
            </w:r>
          </w:p>
        </w:tc>
        <w:tc>
          <w:tcPr>
            <w:tcW w:w="2232" w:type="dxa"/>
          </w:tcPr>
          <w:p w14:paraId="41A7902C" w14:textId="49C45EDE" w:rsidR="00690BD0" w:rsidRPr="003E660F" w:rsidRDefault="00690BD0" w:rsidP="000E0EFB">
            <w:pPr>
              <w:spacing w:line="360" w:lineRule="auto"/>
              <w:jc w:val="both"/>
              <w:rPr>
                <w:rFonts w:cs="Times New Roman"/>
              </w:rPr>
            </w:pPr>
            <w:r>
              <w:rPr>
                <w:rFonts w:cs="Times New Roman"/>
              </w:rPr>
              <w:t>Ethan: 4</w:t>
            </w:r>
          </w:p>
        </w:tc>
      </w:tr>
    </w:tbl>
    <w:p w14:paraId="1AE0AA04" w14:textId="2492147A" w:rsidR="00690BD0" w:rsidRPr="00AB3A1B" w:rsidRDefault="00690BD0" w:rsidP="001859AE">
      <w:pPr>
        <w:jc w:val="both"/>
        <w:rPr>
          <w:rFonts w:cs="Times New Roman"/>
          <w:i/>
        </w:rPr>
      </w:pPr>
      <w:r>
        <w:rPr>
          <w:rFonts w:cs="Times New Roman"/>
          <w:i/>
        </w:rPr>
        <w:t>Table 4</w:t>
      </w:r>
    </w:p>
    <w:p w14:paraId="61AAFBCB" w14:textId="12129B1E" w:rsidR="00690BD0" w:rsidRDefault="00690BD0" w:rsidP="001859AE">
      <w:pPr>
        <w:jc w:val="both"/>
        <w:rPr>
          <w:rFonts w:cs="Times New Roman"/>
        </w:rPr>
      </w:pPr>
      <w:r>
        <w:rPr>
          <w:rFonts w:cs="Times New Roman"/>
        </w:rPr>
        <w:t xml:space="preserve">In this example, we have to decide between taking a risk (giving Ethan 7 units of welfare if HEADS and nothing otherwise), or playing it safe (giving Ethan 4 units of welfare for sure). The prospects for Ethan are better under </w:t>
      </w:r>
      <w:r>
        <w:rPr>
          <w:rFonts w:cs="Times New Roman"/>
          <w:i/>
          <w:iCs/>
        </w:rPr>
        <w:t>Safe</w:t>
      </w:r>
      <w:r>
        <w:rPr>
          <w:rFonts w:cs="Times New Roman"/>
        </w:rPr>
        <w:t xml:space="preserve"> than under </w:t>
      </w:r>
      <w:r>
        <w:rPr>
          <w:rFonts w:cs="Times New Roman"/>
          <w:i/>
          <w:iCs/>
        </w:rPr>
        <w:t>Risk</w:t>
      </w:r>
      <w:r>
        <w:rPr>
          <w:rFonts w:cs="Times New Roman"/>
        </w:rPr>
        <w:t xml:space="preserve">, and Ethan is the only person involved, so </w:t>
      </w:r>
      <w:r>
        <w:rPr>
          <w:rFonts w:cs="Times New Roman"/>
          <w:i/>
          <w:iCs/>
        </w:rPr>
        <w:t>Safe</w:t>
      </w:r>
      <w:r>
        <w:rPr>
          <w:rFonts w:cs="Times New Roman"/>
        </w:rPr>
        <w:t xml:space="preserve"> is </w:t>
      </w:r>
      <w:r>
        <w:rPr>
          <w:rFonts w:cs="Times New Roman"/>
          <w:i/>
          <w:iCs/>
        </w:rPr>
        <w:t>ex ante</w:t>
      </w:r>
      <w:r>
        <w:rPr>
          <w:rFonts w:cs="Times New Roman"/>
        </w:rPr>
        <w:t xml:space="preserve"> Pareto superior to </w:t>
      </w:r>
      <w:r>
        <w:rPr>
          <w:rFonts w:cs="Times New Roman"/>
          <w:i/>
          <w:iCs/>
        </w:rPr>
        <w:t>Risk</w:t>
      </w:r>
      <w:r>
        <w:rPr>
          <w:rFonts w:cs="Times New Roman"/>
        </w:rPr>
        <w:t xml:space="preserve">, relative to the set of designators {‘Ethan’}. Because Ethan is the only member of the population, there are no other rival sets of designators which distribute the total prospects differently, and so </w:t>
      </w:r>
      <w:r>
        <w:rPr>
          <w:rFonts w:cs="Times New Roman"/>
          <w:i/>
          <w:iCs/>
        </w:rPr>
        <w:t>Safe</w:t>
      </w:r>
      <w:r>
        <w:rPr>
          <w:rFonts w:cs="Times New Roman"/>
        </w:rPr>
        <w:t xml:space="preserve"> is </w:t>
      </w:r>
      <w:r>
        <w:rPr>
          <w:rFonts w:cs="Times New Roman"/>
          <w:i/>
          <w:iCs/>
        </w:rPr>
        <w:t>ex ante</w:t>
      </w:r>
      <w:r>
        <w:rPr>
          <w:rFonts w:cs="Times New Roman"/>
        </w:rPr>
        <w:t xml:space="preserve"> Pareto superior</w:t>
      </w:r>
      <w:r>
        <w:rPr>
          <w:rFonts w:cs="Times New Roman"/>
          <w:vertAlign w:val="subscript"/>
        </w:rPr>
        <w:t>sup</w:t>
      </w:r>
      <w:r>
        <w:rPr>
          <w:rFonts w:cs="Times New Roman"/>
        </w:rPr>
        <w:t xml:space="preserve"> to </w:t>
      </w:r>
      <w:r>
        <w:rPr>
          <w:rFonts w:cs="Times New Roman"/>
          <w:i/>
          <w:iCs/>
        </w:rPr>
        <w:t>Risk</w:t>
      </w:r>
      <w:r>
        <w:rPr>
          <w:rFonts w:cs="Times New Roman"/>
        </w:rPr>
        <w:t xml:space="preserve">. Now assume that the coin has already been tossed (out of sight of the decision-maker) and has landed heads. Then in fact choosing </w:t>
      </w:r>
      <w:r>
        <w:rPr>
          <w:rFonts w:cs="Times New Roman"/>
          <w:i/>
          <w:iCs/>
        </w:rPr>
        <w:t>Risk</w:t>
      </w:r>
      <w:r>
        <w:rPr>
          <w:rFonts w:cs="Times New Roman"/>
        </w:rPr>
        <w:t xml:space="preserve"> would give Ethan 7, whereas choosing </w:t>
      </w:r>
      <w:r>
        <w:rPr>
          <w:rFonts w:cs="Times New Roman"/>
          <w:i/>
          <w:iCs/>
        </w:rPr>
        <w:t>Safe</w:t>
      </w:r>
      <w:r>
        <w:rPr>
          <w:rFonts w:cs="Times New Roman"/>
        </w:rPr>
        <w:t xml:space="preserve"> would give him 4, so </w:t>
      </w:r>
      <w:r>
        <w:rPr>
          <w:rFonts w:cs="Times New Roman"/>
          <w:i/>
          <w:iCs/>
        </w:rPr>
        <w:t>Risk</w:t>
      </w:r>
      <w:r>
        <w:rPr>
          <w:rFonts w:cs="Times New Roman"/>
        </w:rPr>
        <w:t xml:space="preserve"> is </w:t>
      </w:r>
      <w:r>
        <w:rPr>
          <w:rFonts w:cs="Times New Roman"/>
          <w:i/>
          <w:iCs/>
        </w:rPr>
        <w:t>ex post</w:t>
      </w:r>
      <w:r>
        <w:rPr>
          <w:rFonts w:cs="Times New Roman"/>
        </w:rPr>
        <w:t xml:space="preserve"> Pareto </w:t>
      </w:r>
      <w:r>
        <w:rPr>
          <w:rFonts w:cs="Times New Roman"/>
        </w:rPr>
        <w:lastRenderedPageBreak/>
        <w:t xml:space="preserve">superior to </w:t>
      </w:r>
      <w:r>
        <w:rPr>
          <w:rFonts w:cs="Times New Roman"/>
          <w:i/>
          <w:iCs/>
        </w:rPr>
        <w:t>Safe</w:t>
      </w:r>
      <w:r>
        <w:rPr>
          <w:rFonts w:cs="Times New Roman"/>
        </w:rPr>
        <w:t xml:space="preserve">. This illustrates claims (3) and (4): a policy can be </w:t>
      </w:r>
      <w:r>
        <w:rPr>
          <w:rFonts w:cs="Times New Roman"/>
          <w:i/>
          <w:iCs/>
        </w:rPr>
        <w:t>ex ante</w:t>
      </w:r>
      <w:r>
        <w:rPr>
          <w:rFonts w:cs="Times New Roman"/>
        </w:rPr>
        <w:t xml:space="preserve"> Pareto superior</w:t>
      </w:r>
      <w:r>
        <w:rPr>
          <w:rFonts w:cs="Times New Roman"/>
          <w:vertAlign w:val="subscript"/>
        </w:rPr>
        <w:t>sup</w:t>
      </w:r>
      <w:r>
        <w:rPr>
          <w:rFonts w:cs="Times New Roman"/>
        </w:rPr>
        <w:t xml:space="preserve"> without being </w:t>
      </w:r>
      <w:r>
        <w:rPr>
          <w:rFonts w:cs="Times New Roman"/>
          <w:i/>
          <w:iCs/>
        </w:rPr>
        <w:t>ex post</w:t>
      </w:r>
      <w:r>
        <w:rPr>
          <w:rFonts w:cs="Times New Roman"/>
        </w:rPr>
        <w:t xml:space="preserve"> Pareto superior, and vice versa. </w:t>
      </w:r>
    </w:p>
    <w:p w14:paraId="695565BF" w14:textId="77777777" w:rsidR="00690BD0" w:rsidRDefault="00690BD0" w:rsidP="000568C5">
      <w:pPr>
        <w:pStyle w:val="Heading2"/>
      </w:pPr>
    </w:p>
    <w:p w14:paraId="6E6C925C" w14:textId="45F529E7" w:rsidR="00690BD0" w:rsidRDefault="00690BD0" w:rsidP="000568C5">
      <w:pPr>
        <w:pStyle w:val="Heading2"/>
      </w:pPr>
      <w:r>
        <w:t>Identically situated individuals</w:t>
      </w:r>
    </w:p>
    <w:p w14:paraId="2E0D61AB" w14:textId="314A15C8" w:rsidR="00690BD0" w:rsidRDefault="00690BD0" w:rsidP="003D2693">
      <w:pPr>
        <w:jc w:val="both"/>
        <w:rPr>
          <w:rFonts w:cs="Times New Roman"/>
        </w:rPr>
      </w:pPr>
      <w:r>
        <w:t>Some choices – such as the case of Ethan above - are known to concern only one individual. In these cases, though the decision-maker might have a variety of different ways of designating that individual, the distribution of total prospects will obviously be the same whichever designator is considered. Thus for cases where a policy choice is known to concern just one individual,</w:t>
      </w:r>
      <w:r>
        <w:rPr>
          <w:rFonts w:cs="Times New Roman"/>
        </w:rPr>
        <w:t xml:space="preserve"> a policy P</w:t>
      </w:r>
      <w:r>
        <w:rPr>
          <w:rFonts w:cs="Times New Roman"/>
          <w:i/>
          <w:iCs/>
          <w:vertAlign w:val="subscript"/>
        </w:rPr>
        <w:t>x</w:t>
      </w:r>
      <w:r>
        <w:rPr>
          <w:rFonts w:cs="Times New Roman"/>
        </w:rPr>
        <w:t xml:space="preserve"> is </w:t>
      </w:r>
      <w:r>
        <w:rPr>
          <w:rFonts w:cs="Times New Roman"/>
          <w:i/>
          <w:iCs/>
        </w:rPr>
        <w:t>ex ante</w:t>
      </w:r>
      <w:r>
        <w:rPr>
          <w:rFonts w:cs="Times New Roman"/>
        </w:rPr>
        <w:t xml:space="preserve"> Pareto superior</w:t>
      </w:r>
      <w:r>
        <w:rPr>
          <w:rFonts w:cs="Times New Roman"/>
          <w:vertAlign w:val="subscript"/>
        </w:rPr>
        <w:t>sup</w:t>
      </w:r>
      <w:r>
        <w:rPr>
          <w:rFonts w:cs="Times New Roman"/>
        </w:rPr>
        <w:t xml:space="preserve"> to a policy P</w:t>
      </w:r>
      <w:r>
        <w:rPr>
          <w:rFonts w:cs="Times New Roman"/>
          <w:i/>
          <w:iCs/>
          <w:vertAlign w:val="subscript"/>
        </w:rPr>
        <w:t>y</w:t>
      </w:r>
      <w:r>
        <w:rPr>
          <w:rFonts w:cs="Times New Roman"/>
        </w:rPr>
        <w:t xml:space="preserve"> iff P</w:t>
      </w:r>
      <w:r>
        <w:rPr>
          <w:rFonts w:cs="Times New Roman"/>
          <w:i/>
          <w:iCs/>
          <w:vertAlign w:val="subscript"/>
        </w:rPr>
        <w:t>x</w:t>
      </w:r>
      <w:r>
        <w:rPr>
          <w:rFonts w:cs="Times New Roman"/>
        </w:rPr>
        <w:t xml:space="preserve"> is </w:t>
      </w:r>
      <w:r>
        <w:rPr>
          <w:rFonts w:cs="Times New Roman"/>
          <w:i/>
          <w:iCs/>
        </w:rPr>
        <w:t>ex</w:t>
      </w:r>
      <w:r w:rsidRPr="004C6E19">
        <w:rPr>
          <w:rFonts w:cs="Times New Roman"/>
          <w:i/>
        </w:rPr>
        <w:t xml:space="preserve"> ante </w:t>
      </w:r>
      <w:r>
        <w:rPr>
          <w:rFonts w:cs="Times New Roman"/>
        </w:rPr>
        <w:t>Pareto superior to P</w:t>
      </w:r>
      <w:r>
        <w:rPr>
          <w:rFonts w:cs="Times New Roman"/>
          <w:i/>
          <w:iCs/>
          <w:vertAlign w:val="subscript"/>
        </w:rPr>
        <w:t>y</w:t>
      </w:r>
      <w:r>
        <w:rPr>
          <w:rFonts w:cs="Times New Roman"/>
          <w:vertAlign w:val="subscript"/>
        </w:rPr>
        <w:softHyphen/>
      </w:r>
      <w:r>
        <w:rPr>
          <w:rFonts w:cs="Times New Roman"/>
        </w:rPr>
        <w:t xml:space="preserve"> relative to any admissible set of designators – in other words, iff P</w:t>
      </w:r>
      <w:r>
        <w:rPr>
          <w:rFonts w:cs="Times New Roman"/>
          <w:i/>
          <w:iCs/>
          <w:vertAlign w:val="subscript"/>
        </w:rPr>
        <w:t>x</w:t>
      </w:r>
      <w:r>
        <w:rPr>
          <w:rFonts w:cs="Times New Roman"/>
        </w:rPr>
        <w:t xml:space="preserve"> is </w:t>
      </w:r>
      <w:r>
        <w:rPr>
          <w:rFonts w:cs="Times New Roman"/>
          <w:i/>
          <w:iCs/>
        </w:rPr>
        <w:t>ex ante</w:t>
      </w:r>
      <w:r>
        <w:rPr>
          <w:rFonts w:cs="Times New Roman"/>
        </w:rPr>
        <w:t xml:space="preserve"> Pareto superior</w:t>
      </w:r>
      <w:r>
        <w:rPr>
          <w:rFonts w:cs="Times New Roman"/>
          <w:vertAlign w:val="subscript"/>
        </w:rPr>
        <w:t>sub</w:t>
      </w:r>
      <w:r>
        <w:rPr>
          <w:rFonts w:cs="Times New Roman"/>
        </w:rPr>
        <w:t xml:space="preserve"> to P</w:t>
      </w:r>
      <w:r>
        <w:rPr>
          <w:rFonts w:cs="Times New Roman"/>
          <w:i/>
          <w:iCs/>
          <w:vertAlign w:val="subscript"/>
        </w:rPr>
        <w:t>y</w:t>
      </w:r>
      <w:r>
        <w:rPr>
          <w:rFonts w:cs="Times New Roman"/>
        </w:rPr>
        <w:t>. The same holds where a policy choice concerns any number of identically situated individuals. Whatever designators are applied to these individuals, their welfare at each state, and so the calculation of their prospects will be identical. This gives us the following result:</w:t>
      </w:r>
    </w:p>
    <w:p w14:paraId="2B646D4E" w14:textId="07B7BF56" w:rsidR="00690BD0" w:rsidRPr="00B356DE" w:rsidRDefault="00690BD0" w:rsidP="00BC61D6">
      <w:pPr>
        <w:pStyle w:val="ListParagraph"/>
        <w:numPr>
          <w:ilvl w:val="0"/>
          <w:numId w:val="26"/>
        </w:numPr>
      </w:pPr>
      <w:r w:rsidRPr="00D1648C">
        <w:rPr>
          <w:rFonts w:cs="Times New Roman"/>
        </w:rPr>
        <w:t>Where all individuals are identically situated, P</w:t>
      </w:r>
      <w:r w:rsidRPr="00D1648C">
        <w:rPr>
          <w:rFonts w:cs="Times New Roman"/>
          <w:i/>
          <w:iCs/>
          <w:vertAlign w:val="subscript"/>
        </w:rPr>
        <w:t>x</w:t>
      </w:r>
      <w:r w:rsidRPr="00D1648C">
        <w:rPr>
          <w:rFonts w:cs="Times New Roman"/>
        </w:rPr>
        <w:t xml:space="preserve"> is </w:t>
      </w:r>
      <w:r w:rsidRPr="00D1648C">
        <w:rPr>
          <w:rFonts w:cs="Times New Roman"/>
          <w:i/>
          <w:iCs/>
        </w:rPr>
        <w:t>ex ante</w:t>
      </w:r>
      <w:r w:rsidRPr="00D1648C">
        <w:rPr>
          <w:rFonts w:cs="Times New Roman"/>
        </w:rPr>
        <w:t xml:space="preserve"> </w:t>
      </w:r>
      <w:r>
        <w:rPr>
          <w:rFonts w:cs="Times New Roman"/>
        </w:rPr>
        <w:t>Pareto</w:t>
      </w:r>
      <w:r w:rsidRPr="00D1648C">
        <w:rPr>
          <w:rFonts w:cs="Times New Roman"/>
        </w:rPr>
        <w:t xml:space="preserve"> superior</w:t>
      </w:r>
      <w:r>
        <w:rPr>
          <w:rFonts w:cs="Times New Roman"/>
          <w:vertAlign w:val="subscript"/>
        </w:rPr>
        <w:t>sup</w:t>
      </w:r>
      <w:r w:rsidRPr="00D1648C">
        <w:rPr>
          <w:rFonts w:cs="Times New Roman"/>
        </w:rPr>
        <w:t xml:space="preserve"> to P</w:t>
      </w:r>
      <w:r w:rsidRPr="00D1648C">
        <w:rPr>
          <w:rFonts w:cs="Times New Roman"/>
          <w:i/>
          <w:iCs/>
          <w:vertAlign w:val="subscript"/>
        </w:rPr>
        <w:t>y</w:t>
      </w:r>
      <w:r w:rsidRPr="00D1648C">
        <w:rPr>
          <w:rFonts w:cs="Times New Roman"/>
        </w:rPr>
        <w:t xml:space="preserve"> iff </w:t>
      </w:r>
      <w:r>
        <w:rPr>
          <w:rFonts w:cs="Times New Roman"/>
        </w:rPr>
        <w:t>P</w:t>
      </w:r>
      <w:r>
        <w:rPr>
          <w:rFonts w:cs="Times New Roman"/>
          <w:i/>
          <w:iCs/>
          <w:vertAlign w:val="subscript"/>
        </w:rPr>
        <w:t>x</w:t>
      </w:r>
      <w:r>
        <w:rPr>
          <w:rFonts w:cs="Times New Roman"/>
        </w:rPr>
        <w:t xml:space="preserve"> is </w:t>
      </w:r>
      <w:r>
        <w:rPr>
          <w:rFonts w:cs="Times New Roman"/>
          <w:i/>
          <w:iCs/>
        </w:rPr>
        <w:t>ex ante</w:t>
      </w:r>
      <w:r>
        <w:rPr>
          <w:rFonts w:cs="Times New Roman"/>
        </w:rPr>
        <w:t xml:space="preserve"> Pareto superior</w:t>
      </w:r>
      <w:r>
        <w:rPr>
          <w:rFonts w:cs="Times New Roman"/>
          <w:vertAlign w:val="subscript"/>
        </w:rPr>
        <w:t>sub</w:t>
      </w:r>
      <w:r>
        <w:rPr>
          <w:rFonts w:cs="Times New Roman"/>
        </w:rPr>
        <w:t xml:space="preserve"> to P</w:t>
      </w:r>
      <w:r>
        <w:rPr>
          <w:rFonts w:cs="Times New Roman"/>
          <w:i/>
          <w:iCs/>
          <w:vertAlign w:val="subscript"/>
        </w:rPr>
        <w:t>y</w:t>
      </w:r>
    </w:p>
    <w:p w14:paraId="3C53A7CA" w14:textId="72A7C2C4" w:rsidR="00690BD0" w:rsidRDefault="00690BD0" w:rsidP="003D2693">
      <w:pPr>
        <w:jc w:val="both"/>
      </w:pPr>
      <w:r>
        <w:t xml:space="preserve">Throughout the literature on the </w:t>
      </w:r>
      <w:r>
        <w:rPr>
          <w:i/>
          <w:iCs/>
        </w:rPr>
        <w:t xml:space="preserve">ex ante </w:t>
      </w:r>
      <w:r>
        <w:t xml:space="preserve">Pareto principle, various results have been proved, and while we cannot now straightforwardly endorse those proofs (for the </w:t>
      </w:r>
      <w:r>
        <w:rPr>
          <w:i/>
          <w:iCs/>
        </w:rPr>
        <w:t xml:space="preserve">ex ante </w:t>
      </w:r>
      <w:r>
        <w:t xml:space="preserve">principle has until now been incompletely defined and so not fit to feature in these proofs), we can see that various analogous such proofs will go through on a supervaluationist reading of the </w:t>
      </w:r>
      <w:r>
        <w:rPr>
          <w:i/>
          <w:iCs/>
        </w:rPr>
        <w:t>ex ante</w:t>
      </w:r>
      <w:r>
        <w:t xml:space="preserve"> Pareto principle. In particular, proofs that concern cases of identically situated individuals will go through. Here is one such example. </w:t>
      </w:r>
    </w:p>
    <w:p w14:paraId="7EB019F5" w14:textId="6DE8F154" w:rsidR="00690BD0" w:rsidRDefault="00690BD0" w:rsidP="00B80BFF">
      <w:pPr>
        <w:jc w:val="both"/>
      </w:pPr>
      <w:r>
        <w:lastRenderedPageBreak/>
        <w:t xml:space="preserve">Prioritarians place greater priority on improving the welfare of an individual the worse off that individual is. There are various different sorts of prioritarians, but one sort – the ‘continuous prioritarian’ – captures the moral value of an agent’s welfare at an outcome by applying a transformation function such as the square root function on his or her welfare to give that individual’s ‘transformed well-being’. The rationale for this is that it is morally more important to give a fixed-sized well-being gain to a poorly-off individual than to give the same sized well-being gain to a better-off individual. We calculate the expected sum of </w:t>
      </w:r>
      <w:r>
        <w:rPr>
          <w:i/>
          <w:iCs/>
        </w:rPr>
        <w:t>transformed</w:t>
      </w:r>
      <w:r>
        <w:t xml:space="preserve"> well-being (ESTWB) across individuals for a given policy, and choose whichever policy has the greatest ESTBW </w:t>
      </w:r>
      <w:sdt>
        <w:sdtPr>
          <w:id w:val="-1396740362"/>
          <w:citation/>
        </w:sdtPr>
        <w:sdtEndPr/>
        <w:sdtContent>
          <w:r>
            <w:fldChar w:fldCharType="begin"/>
          </w:r>
          <w:r>
            <w:instrText xml:space="preserve">CITATION Adl17 \t  \l 2057 </w:instrText>
          </w:r>
          <w:r>
            <w:fldChar w:fldCharType="separate"/>
          </w:r>
          <w:r w:rsidR="00122864">
            <w:rPr>
              <w:noProof/>
            </w:rPr>
            <w:t>(Adler 2017)</w:t>
          </w:r>
          <w:r>
            <w:fldChar w:fldCharType="end"/>
          </w:r>
        </w:sdtContent>
      </w:sdt>
      <w:r>
        <w:t>.</w:t>
      </w:r>
    </w:p>
    <w:p w14:paraId="5E0F470D" w14:textId="7463E662" w:rsidR="00690BD0" w:rsidRPr="00C96E81" w:rsidRDefault="00690BD0" w:rsidP="003D2693">
      <w:pPr>
        <w:jc w:val="both"/>
      </w:pPr>
      <w:r>
        <w:t xml:space="preserve">This has been proven to result in violations of the </w:t>
      </w:r>
      <w:r>
        <w:rPr>
          <w:i/>
          <w:iCs/>
        </w:rPr>
        <w:t>ex ante</w:t>
      </w:r>
      <w:r>
        <w:t xml:space="preserve"> Pareto principle </w:t>
      </w:r>
      <w:sdt>
        <w:sdtPr>
          <w:id w:val="42341776"/>
          <w:citation/>
        </w:sdtPr>
        <w:sdtEndPr/>
        <w:sdtContent>
          <w:r>
            <w:fldChar w:fldCharType="begin"/>
          </w:r>
          <w:r>
            <w:rPr>
              <w:b/>
              <w:bCs/>
            </w:rPr>
            <w:instrText xml:space="preserve">CITATION Ots09 \t  \m Ots18 \t  \l 2057 </w:instrText>
          </w:r>
          <w:r>
            <w:fldChar w:fldCharType="separate"/>
          </w:r>
          <w:r w:rsidR="00122864">
            <w:rPr>
              <w:noProof/>
            </w:rPr>
            <w:t>(Otsuka and Voorhoeve 2009, Otsuka and Voorhoeve 2018)</w:t>
          </w:r>
          <w:r>
            <w:fldChar w:fldCharType="end"/>
          </w:r>
        </w:sdtContent>
      </w:sdt>
      <w:r>
        <w:t xml:space="preserve"> even in cases concerning identically situated individuals. As I have argued, the </w:t>
      </w:r>
      <w:r>
        <w:rPr>
          <w:i/>
          <w:iCs/>
        </w:rPr>
        <w:t xml:space="preserve">ex ante </w:t>
      </w:r>
      <w:r>
        <w:t xml:space="preserve">Pareto principle is incompletely defined, and so we cannot endorse this proof, but we can endorse an analogous version involving the </w:t>
      </w:r>
      <w:r>
        <w:rPr>
          <w:i/>
          <w:iCs/>
        </w:rPr>
        <w:t>ex ante</w:t>
      </w:r>
      <w:r>
        <w:t xml:space="preserve"> Pareto principle</w:t>
      </w:r>
      <w:r>
        <w:rPr>
          <w:vertAlign w:val="subscript"/>
        </w:rPr>
        <w:t>sup</w:t>
      </w:r>
      <w:r>
        <w:t xml:space="preserve">. To see this, consider the scenario below: </w:t>
      </w:r>
    </w:p>
    <w:p w14:paraId="3686350B" w14:textId="1896448A" w:rsidR="00690BD0" w:rsidRDefault="00690BD0" w:rsidP="00CD7E8C"/>
    <w:tbl>
      <w:tblPr>
        <w:tblStyle w:val="TableGrid"/>
        <w:tblW w:w="9466" w:type="dxa"/>
        <w:tblLook w:val="04A0" w:firstRow="1" w:lastRow="0" w:firstColumn="1" w:lastColumn="0" w:noHBand="0" w:noVBand="1"/>
      </w:tblPr>
      <w:tblGrid>
        <w:gridCol w:w="1693"/>
        <w:gridCol w:w="2409"/>
        <w:gridCol w:w="2682"/>
        <w:gridCol w:w="2682"/>
      </w:tblGrid>
      <w:tr w:rsidR="00690BD0" w:rsidRPr="007A7ACD" w14:paraId="5B2BBA40" w14:textId="77777777" w:rsidTr="00BC61D6">
        <w:trPr>
          <w:trHeight w:val="452"/>
        </w:trPr>
        <w:tc>
          <w:tcPr>
            <w:tcW w:w="1693" w:type="dxa"/>
          </w:tcPr>
          <w:p w14:paraId="55ADB332" w14:textId="77777777" w:rsidR="00690BD0" w:rsidRPr="007A7ACD" w:rsidRDefault="00690BD0" w:rsidP="000E0EFB">
            <w:pPr>
              <w:spacing w:line="360" w:lineRule="auto"/>
              <w:jc w:val="both"/>
              <w:rPr>
                <w:rFonts w:cs="Times New Roman"/>
              </w:rPr>
            </w:pPr>
          </w:p>
        </w:tc>
        <w:tc>
          <w:tcPr>
            <w:tcW w:w="2409" w:type="dxa"/>
          </w:tcPr>
          <w:p w14:paraId="03C07AF5" w14:textId="77777777" w:rsidR="00690BD0" w:rsidRPr="007A7ACD" w:rsidRDefault="00690BD0" w:rsidP="000E0EFB">
            <w:pPr>
              <w:spacing w:line="360" w:lineRule="auto"/>
              <w:jc w:val="both"/>
              <w:rPr>
                <w:rFonts w:cs="Times New Roman"/>
              </w:rPr>
            </w:pPr>
            <w:r w:rsidRPr="007A7ACD">
              <w:rPr>
                <w:rFonts w:cs="Times New Roman"/>
              </w:rPr>
              <w:t>State S</w:t>
            </w:r>
            <w:r w:rsidRPr="007A7ACD">
              <w:rPr>
                <w:rFonts w:cs="Times New Roman"/>
                <w:vertAlign w:val="subscript"/>
              </w:rPr>
              <w:t>1</w:t>
            </w:r>
          </w:p>
        </w:tc>
        <w:tc>
          <w:tcPr>
            <w:tcW w:w="2682" w:type="dxa"/>
          </w:tcPr>
          <w:p w14:paraId="0A39AACD" w14:textId="77777777" w:rsidR="00690BD0" w:rsidRPr="007A7ACD" w:rsidRDefault="00690BD0" w:rsidP="000E0EFB">
            <w:pPr>
              <w:spacing w:line="360" w:lineRule="auto"/>
              <w:jc w:val="both"/>
              <w:rPr>
                <w:rFonts w:cs="Times New Roman"/>
              </w:rPr>
            </w:pPr>
            <w:r w:rsidRPr="007A7ACD">
              <w:rPr>
                <w:rFonts w:cs="Times New Roman"/>
              </w:rPr>
              <w:t>State S</w:t>
            </w:r>
            <w:r w:rsidRPr="007A7ACD">
              <w:rPr>
                <w:rFonts w:cs="Times New Roman"/>
              </w:rPr>
              <w:softHyphen/>
            </w:r>
            <w:r w:rsidRPr="007A7ACD">
              <w:rPr>
                <w:rFonts w:cs="Times New Roman"/>
                <w:vertAlign w:val="subscript"/>
              </w:rPr>
              <w:t>2</w:t>
            </w:r>
          </w:p>
        </w:tc>
        <w:tc>
          <w:tcPr>
            <w:tcW w:w="2682" w:type="dxa"/>
          </w:tcPr>
          <w:p w14:paraId="615A2AE0" w14:textId="77777777" w:rsidR="00690BD0" w:rsidRPr="007A7ACD" w:rsidRDefault="00690BD0" w:rsidP="000E0EFB">
            <w:pPr>
              <w:spacing w:line="360" w:lineRule="auto"/>
              <w:jc w:val="both"/>
              <w:rPr>
                <w:rFonts w:cs="Times New Roman"/>
              </w:rPr>
            </w:pPr>
            <w:r w:rsidRPr="007A7ACD">
              <w:rPr>
                <w:rFonts w:cs="Times New Roman"/>
                <w:i/>
              </w:rPr>
              <w:t>Prospects</w:t>
            </w:r>
          </w:p>
        </w:tc>
      </w:tr>
      <w:tr w:rsidR="00690BD0" w:rsidRPr="007A7ACD" w14:paraId="3FE8EE63" w14:textId="77777777" w:rsidTr="00BC61D6">
        <w:tc>
          <w:tcPr>
            <w:tcW w:w="1693" w:type="dxa"/>
          </w:tcPr>
          <w:p w14:paraId="37951227" w14:textId="77777777" w:rsidR="00690BD0" w:rsidRPr="007A7ACD" w:rsidRDefault="00690BD0" w:rsidP="000E0EFB">
            <w:pPr>
              <w:spacing w:line="360" w:lineRule="auto"/>
              <w:jc w:val="both"/>
              <w:rPr>
                <w:rFonts w:cs="Times New Roman"/>
                <w:i/>
              </w:rPr>
            </w:pPr>
          </w:p>
        </w:tc>
        <w:tc>
          <w:tcPr>
            <w:tcW w:w="2409" w:type="dxa"/>
          </w:tcPr>
          <w:p w14:paraId="6CE62108" w14:textId="77777777" w:rsidR="00690BD0" w:rsidRPr="007A7ACD" w:rsidRDefault="00690BD0" w:rsidP="000E0EFB">
            <w:pPr>
              <w:spacing w:line="360" w:lineRule="auto"/>
              <w:jc w:val="both"/>
              <w:rPr>
                <w:rFonts w:cs="Times New Roman"/>
              </w:rPr>
            </w:pPr>
            <w:r w:rsidRPr="007A7ACD">
              <w:rPr>
                <w:rFonts w:cs="Times New Roman"/>
              </w:rPr>
              <w:t>P(S</w:t>
            </w:r>
            <w:r w:rsidRPr="007A7ACD">
              <w:rPr>
                <w:rFonts w:cs="Times New Roman"/>
                <w:vertAlign w:val="subscript"/>
              </w:rPr>
              <w:t>1</w:t>
            </w:r>
            <w:r w:rsidRPr="007A7ACD">
              <w:rPr>
                <w:rFonts w:cs="Times New Roman"/>
              </w:rPr>
              <w:t>) = 0.5</w:t>
            </w:r>
          </w:p>
        </w:tc>
        <w:tc>
          <w:tcPr>
            <w:tcW w:w="2682" w:type="dxa"/>
          </w:tcPr>
          <w:p w14:paraId="538E18F4" w14:textId="77777777" w:rsidR="00690BD0" w:rsidRPr="007A7ACD" w:rsidRDefault="00690BD0" w:rsidP="000E0EFB">
            <w:pPr>
              <w:spacing w:line="360" w:lineRule="auto"/>
              <w:jc w:val="both"/>
              <w:rPr>
                <w:rFonts w:cs="Times New Roman"/>
              </w:rPr>
            </w:pPr>
            <w:r w:rsidRPr="007A7ACD">
              <w:rPr>
                <w:rFonts w:cs="Times New Roman"/>
              </w:rPr>
              <w:t>P(S</w:t>
            </w:r>
            <w:r w:rsidRPr="007A7ACD">
              <w:rPr>
                <w:rFonts w:cs="Times New Roman"/>
                <w:vertAlign w:val="subscript"/>
              </w:rPr>
              <w:t>2</w:t>
            </w:r>
            <w:r w:rsidRPr="007A7ACD">
              <w:rPr>
                <w:rFonts w:cs="Times New Roman"/>
              </w:rPr>
              <w:t>) = 0.5</w:t>
            </w:r>
          </w:p>
        </w:tc>
        <w:tc>
          <w:tcPr>
            <w:tcW w:w="2682" w:type="dxa"/>
          </w:tcPr>
          <w:p w14:paraId="0D603BF5" w14:textId="77777777" w:rsidR="00690BD0" w:rsidRPr="007A7ACD" w:rsidRDefault="00690BD0" w:rsidP="000E0EFB">
            <w:pPr>
              <w:spacing w:line="360" w:lineRule="auto"/>
              <w:jc w:val="both"/>
              <w:rPr>
                <w:rFonts w:cs="Times New Roman"/>
              </w:rPr>
            </w:pPr>
          </w:p>
        </w:tc>
      </w:tr>
      <w:tr w:rsidR="00690BD0" w:rsidRPr="007A7ACD" w14:paraId="7BB08AC5" w14:textId="77777777" w:rsidTr="00BC61D6">
        <w:tc>
          <w:tcPr>
            <w:tcW w:w="1693" w:type="dxa"/>
          </w:tcPr>
          <w:p w14:paraId="660E1146" w14:textId="77777777" w:rsidR="00690BD0" w:rsidRPr="007A7ACD" w:rsidRDefault="00690BD0" w:rsidP="000E0EFB">
            <w:pPr>
              <w:spacing w:line="360" w:lineRule="auto"/>
              <w:jc w:val="both"/>
              <w:rPr>
                <w:rFonts w:cs="Times New Roman"/>
                <w:i/>
              </w:rPr>
            </w:pPr>
            <w:r w:rsidRPr="007A7ACD">
              <w:rPr>
                <w:rFonts w:cs="Times New Roman"/>
                <w:i/>
              </w:rPr>
              <w:t>Risk</w:t>
            </w:r>
          </w:p>
        </w:tc>
        <w:tc>
          <w:tcPr>
            <w:tcW w:w="2409" w:type="dxa"/>
          </w:tcPr>
          <w:p w14:paraId="6815AE19" w14:textId="77777777" w:rsidR="00690BD0" w:rsidRDefault="00690BD0" w:rsidP="000E0EFB">
            <w:pPr>
              <w:spacing w:line="360" w:lineRule="auto"/>
              <w:jc w:val="both"/>
              <w:rPr>
                <w:rFonts w:cs="Times New Roman"/>
              </w:rPr>
            </w:pPr>
            <w:r>
              <w:rPr>
                <w:rFonts w:cs="Times New Roman"/>
              </w:rPr>
              <w:t>Harry: 9</w:t>
            </w:r>
          </w:p>
          <w:p w14:paraId="44B984F1" w14:textId="6E960AF2" w:rsidR="00690BD0" w:rsidRPr="002321A9" w:rsidRDefault="00690BD0" w:rsidP="000E0EFB">
            <w:pPr>
              <w:spacing w:line="360" w:lineRule="auto"/>
              <w:jc w:val="both"/>
              <w:rPr>
                <w:rFonts w:cs="Times New Roman"/>
              </w:rPr>
            </w:pPr>
            <w:r>
              <w:rPr>
                <w:rFonts w:cs="Times New Roman"/>
              </w:rPr>
              <w:t>Ian: 9</w:t>
            </w:r>
          </w:p>
        </w:tc>
        <w:tc>
          <w:tcPr>
            <w:tcW w:w="2682" w:type="dxa"/>
          </w:tcPr>
          <w:p w14:paraId="58286222" w14:textId="77777777" w:rsidR="00690BD0" w:rsidRDefault="00690BD0" w:rsidP="000E0EFB">
            <w:pPr>
              <w:spacing w:line="360" w:lineRule="auto"/>
              <w:jc w:val="both"/>
              <w:rPr>
                <w:rFonts w:cs="Times New Roman"/>
              </w:rPr>
            </w:pPr>
            <w:r>
              <w:rPr>
                <w:rFonts w:cs="Times New Roman"/>
              </w:rPr>
              <w:t>Harry: 0</w:t>
            </w:r>
          </w:p>
          <w:p w14:paraId="1C2DFB94" w14:textId="1953DA97" w:rsidR="00690BD0" w:rsidRPr="007A7ACD" w:rsidRDefault="00690BD0" w:rsidP="000E0EFB">
            <w:pPr>
              <w:spacing w:line="360" w:lineRule="auto"/>
              <w:jc w:val="both"/>
              <w:rPr>
                <w:rFonts w:cs="Times New Roman"/>
              </w:rPr>
            </w:pPr>
            <w:r>
              <w:rPr>
                <w:rFonts w:cs="Times New Roman"/>
              </w:rPr>
              <w:t>Ian: 0</w:t>
            </w:r>
          </w:p>
        </w:tc>
        <w:tc>
          <w:tcPr>
            <w:tcW w:w="2682" w:type="dxa"/>
          </w:tcPr>
          <w:p w14:paraId="26CD5571" w14:textId="77777777" w:rsidR="00690BD0" w:rsidRDefault="00690BD0" w:rsidP="000E0EFB">
            <w:pPr>
              <w:spacing w:line="360" w:lineRule="auto"/>
              <w:jc w:val="both"/>
              <w:rPr>
                <w:rFonts w:cs="Times New Roman"/>
              </w:rPr>
            </w:pPr>
            <w:r>
              <w:rPr>
                <w:rFonts w:cs="Times New Roman"/>
              </w:rPr>
              <w:t>Harry: 4.5</w:t>
            </w:r>
          </w:p>
          <w:p w14:paraId="2B191111" w14:textId="54663232" w:rsidR="00690BD0" w:rsidRDefault="00690BD0" w:rsidP="000E0EFB">
            <w:pPr>
              <w:spacing w:line="360" w:lineRule="auto"/>
              <w:jc w:val="both"/>
              <w:rPr>
                <w:rFonts w:cs="Times New Roman"/>
              </w:rPr>
            </w:pPr>
            <w:r>
              <w:rPr>
                <w:rFonts w:cs="Times New Roman"/>
              </w:rPr>
              <w:t>Ian: 4.5</w:t>
            </w:r>
          </w:p>
        </w:tc>
      </w:tr>
      <w:tr w:rsidR="00690BD0" w:rsidRPr="007A7ACD" w14:paraId="60923FFF" w14:textId="77777777" w:rsidTr="00BC61D6">
        <w:tc>
          <w:tcPr>
            <w:tcW w:w="1693" w:type="dxa"/>
          </w:tcPr>
          <w:p w14:paraId="3EC8A05A" w14:textId="77777777" w:rsidR="00690BD0" w:rsidRPr="007A7ACD" w:rsidRDefault="00690BD0" w:rsidP="000E0EFB">
            <w:pPr>
              <w:spacing w:line="360" w:lineRule="auto"/>
              <w:jc w:val="both"/>
              <w:rPr>
                <w:rFonts w:cs="Times New Roman"/>
                <w:i/>
              </w:rPr>
            </w:pPr>
            <w:r w:rsidRPr="007A7ACD">
              <w:rPr>
                <w:rFonts w:cs="Times New Roman"/>
                <w:i/>
              </w:rPr>
              <w:t>Safe</w:t>
            </w:r>
          </w:p>
        </w:tc>
        <w:tc>
          <w:tcPr>
            <w:tcW w:w="2409" w:type="dxa"/>
          </w:tcPr>
          <w:p w14:paraId="7F8AC549" w14:textId="77777777" w:rsidR="00690BD0" w:rsidRDefault="00690BD0" w:rsidP="000E0EFB">
            <w:pPr>
              <w:spacing w:line="360" w:lineRule="auto"/>
              <w:jc w:val="both"/>
              <w:rPr>
                <w:rFonts w:cs="Times New Roman"/>
              </w:rPr>
            </w:pPr>
            <w:r>
              <w:rPr>
                <w:rFonts w:cs="Times New Roman"/>
              </w:rPr>
              <w:t>Harry: 4</w:t>
            </w:r>
          </w:p>
          <w:p w14:paraId="31BC6F0B" w14:textId="2D89B541" w:rsidR="00690BD0" w:rsidRPr="00C96E81" w:rsidRDefault="00690BD0" w:rsidP="000E0EFB">
            <w:pPr>
              <w:spacing w:line="360" w:lineRule="auto"/>
              <w:jc w:val="both"/>
              <w:rPr>
                <w:rFonts w:cs="Times New Roman"/>
              </w:rPr>
            </w:pPr>
            <w:r>
              <w:rPr>
                <w:rFonts w:cs="Times New Roman"/>
              </w:rPr>
              <w:t>Ian: 4</w:t>
            </w:r>
          </w:p>
        </w:tc>
        <w:tc>
          <w:tcPr>
            <w:tcW w:w="2682" w:type="dxa"/>
          </w:tcPr>
          <w:p w14:paraId="71350152" w14:textId="77777777" w:rsidR="00690BD0" w:rsidRDefault="00690BD0" w:rsidP="000E0EFB">
            <w:pPr>
              <w:spacing w:line="360" w:lineRule="auto"/>
              <w:jc w:val="both"/>
              <w:rPr>
                <w:rFonts w:cs="Times New Roman"/>
              </w:rPr>
            </w:pPr>
            <w:r>
              <w:rPr>
                <w:rFonts w:cs="Times New Roman"/>
              </w:rPr>
              <w:t>Harry: 4</w:t>
            </w:r>
          </w:p>
          <w:p w14:paraId="24FCC460" w14:textId="070E8B0F" w:rsidR="00690BD0" w:rsidRPr="007A7ACD" w:rsidRDefault="00690BD0" w:rsidP="000E0EFB">
            <w:pPr>
              <w:spacing w:line="360" w:lineRule="auto"/>
              <w:jc w:val="both"/>
              <w:rPr>
                <w:rFonts w:cs="Times New Roman"/>
              </w:rPr>
            </w:pPr>
            <w:r>
              <w:rPr>
                <w:rFonts w:cs="Times New Roman"/>
              </w:rPr>
              <w:t>Ian: 4</w:t>
            </w:r>
          </w:p>
        </w:tc>
        <w:tc>
          <w:tcPr>
            <w:tcW w:w="2682" w:type="dxa"/>
          </w:tcPr>
          <w:p w14:paraId="20F0E12A" w14:textId="77777777" w:rsidR="00690BD0" w:rsidRDefault="00690BD0" w:rsidP="000E0EFB">
            <w:pPr>
              <w:spacing w:line="360" w:lineRule="auto"/>
              <w:jc w:val="both"/>
              <w:rPr>
                <w:rFonts w:cs="Times New Roman"/>
              </w:rPr>
            </w:pPr>
            <w:r>
              <w:rPr>
                <w:rFonts w:cs="Times New Roman"/>
              </w:rPr>
              <w:t>Harry: 4</w:t>
            </w:r>
          </w:p>
          <w:p w14:paraId="10066661" w14:textId="3BAAEC12" w:rsidR="00690BD0" w:rsidRDefault="00690BD0" w:rsidP="000E0EFB">
            <w:pPr>
              <w:spacing w:line="360" w:lineRule="auto"/>
              <w:jc w:val="both"/>
              <w:rPr>
                <w:rFonts w:cs="Times New Roman"/>
              </w:rPr>
            </w:pPr>
            <w:r>
              <w:rPr>
                <w:rFonts w:cs="Times New Roman"/>
              </w:rPr>
              <w:t>Ian: 4</w:t>
            </w:r>
          </w:p>
        </w:tc>
      </w:tr>
    </w:tbl>
    <w:p w14:paraId="65AE12A5" w14:textId="7ECF7373" w:rsidR="00690BD0" w:rsidRPr="00AB3A1B" w:rsidRDefault="00690BD0" w:rsidP="00CD7E8C">
      <w:pPr>
        <w:jc w:val="both"/>
        <w:rPr>
          <w:i/>
        </w:rPr>
      </w:pPr>
      <w:r>
        <w:rPr>
          <w:i/>
        </w:rPr>
        <w:t>Table 5</w:t>
      </w:r>
    </w:p>
    <w:p w14:paraId="468D1720" w14:textId="3DDD2259" w:rsidR="00690BD0" w:rsidRDefault="00690BD0" w:rsidP="003D2693">
      <w:pPr>
        <w:jc w:val="both"/>
      </w:pPr>
      <w:r>
        <w:t xml:space="preserve">We can see that </w:t>
      </w:r>
      <w:r>
        <w:rPr>
          <w:i/>
          <w:iCs/>
        </w:rPr>
        <w:t>Risk</w:t>
      </w:r>
      <w:r>
        <w:t xml:space="preserve"> is </w:t>
      </w:r>
      <w:r>
        <w:rPr>
          <w:i/>
          <w:iCs/>
        </w:rPr>
        <w:t>ex ante</w:t>
      </w:r>
      <w:r>
        <w:t xml:space="preserve"> Pareto superior to </w:t>
      </w:r>
      <w:r>
        <w:rPr>
          <w:i/>
          <w:iCs/>
        </w:rPr>
        <w:t>Safe</w:t>
      </w:r>
      <w:r>
        <w:t xml:space="preserve"> relative to the set of designators {‘Harry’, ‘Ian’}, which proves that </w:t>
      </w:r>
      <w:r>
        <w:rPr>
          <w:i/>
          <w:iCs/>
        </w:rPr>
        <w:t>Risk</w:t>
      </w:r>
      <w:r>
        <w:t xml:space="preserve"> is </w:t>
      </w:r>
      <w:r>
        <w:rPr>
          <w:i/>
          <w:iCs/>
        </w:rPr>
        <w:t>ex ante</w:t>
      </w:r>
      <w:r>
        <w:t xml:space="preserve"> Pareto superior</w:t>
      </w:r>
      <w:r>
        <w:rPr>
          <w:vertAlign w:val="subscript"/>
        </w:rPr>
        <w:t>sub</w:t>
      </w:r>
      <w:r>
        <w:t xml:space="preserve"> to </w:t>
      </w:r>
      <w:r>
        <w:rPr>
          <w:i/>
          <w:iCs/>
        </w:rPr>
        <w:t>Safe</w:t>
      </w:r>
      <w:r>
        <w:t xml:space="preserve">, and given that </w:t>
      </w:r>
      <w:r>
        <w:lastRenderedPageBreak/>
        <w:t xml:space="preserve">all individuals are identically situated, it follows that </w:t>
      </w:r>
      <w:r>
        <w:rPr>
          <w:i/>
          <w:iCs/>
        </w:rPr>
        <w:t>Risk</w:t>
      </w:r>
      <w:r>
        <w:t xml:space="preserve"> is </w:t>
      </w:r>
      <w:r>
        <w:rPr>
          <w:i/>
          <w:iCs/>
        </w:rPr>
        <w:t>ex ante</w:t>
      </w:r>
      <w:r>
        <w:t xml:space="preserve"> Pareto superior</w:t>
      </w:r>
      <w:r>
        <w:rPr>
          <w:vertAlign w:val="subscript"/>
        </w:rPr>
        <w:t>sup</w:t>
      </w:r>
      <w:r>
        <w:t xml:space="preserve"> to </w:t>
      </w:r>
      <w:r>
        <w:rPr>
          <w:i/>
          <w:iCs/>
        </w:rPr>
        <w:t>Safe</w:t>
      </w:r>
      <w:r>
        <w:t>. To confirm this, consider the table below where the same policy choice is laid out relative to the designators {‘the F’, ‘the F*’}, where the F is Harry if S</w:t>
      </w:r>
      <w:r>
        <w:rPr>
          <w:vertAlign w:val="subscript"/>
        </w:rPr>
        <w:t>1</w:t>
      </w:r>
      <w:r>
        <w:t xml:space="preserve"> obtains, and Ian otherwise, and the F* is Ian if S</w:t>
      </w:r>
      <w:r>
        <w:rPr>
          <w:vertAlign w:val="subscript"/>
        </w:rPr>
        <w:t>1</w:t>
      </w:r>
      <w:r>
        <w:t xml:space="preserve"> obtains and Harry otherwise:</w:t>
      </w:r>
    </w:p>
    <w:p w14:paraId="0C2B7EB9" w14:textId="77777777" w:rsidR="00690BD0" w:rsidRDefault="00690BD0" w:rsidP="00CD7E8C">
      <w:pPr>
        <w:jc w:val="both"/>
      </w:pPr>
    </w:p>
    <w:tbl>
      <w:tblPr>
        <w:tblStyle w:val="TableGrid"/>
        <w:tblW w:w="9466" w:type="dxa"/>
        <w:tblLook w:val="04A0" w:firstRow="1" w:lastRow="0" w:firstColumn="1" w:lastColumn="0" w:noHBand="0" w:noVBand="1"/>
      </w:tblPr>
      <w:tblGrid>
        <w:gridCol w:w="1693"/>
        <w:gridCol w:w="2409"/>
        <w:gridCol w:w="2682"/>
        <w:gridCol w:w="2682"/>
      </w:tblGrid>
      <w:tr w:rsidR="00690BD0" w:rsidRPr="007A7ACD" w14:paraId="15525668" w14:textId="77777777" w:rsidTr="00BC61D6">
        <w:trPr>
          <w:trHeight w:val="452"/>
        </w:trPr>
        <w:tc>
          <w:tcPr>
            <w:tcW w:w="1693" w:type="dxa"/>
          </w:tcPr>
          <w:p w14:paraId="3099FAA5" w14:textId="52004495" w:rsidR="00690BD0" w:rsidRPr="007A7ACD" w:rsidRDefault="00690BD0" w:rsidP="000E0EFB">
            <w:pPr>
              <w:spacing w:line="360" w:lineRule="auto"/>
              <w:jc w:val="both"/>
              <w:rPr>
                <w:rFonts w:cs="Times New Roman"/>
              </w:rPr>
            </w:pPr>
            <w:r>
              <w:t xml:space="preserve"> </w:t>
            </w:r>
          </w:p>
        </w:tc>
        <w:tc>
          <w:tcPr>
            <w:tcW w:w="2409" w:type="dxa"/>
          </w:tcPr>
          <w:p w14:paraId="1E314D5B" w14:textId="77777777" w:rsidR="00690BD0" w:rsidRPr="007A7ACD" w:rsidRDefault="00690BD0" w:rsidP="000E0EFB">
            <w:pPr>
              <w:spacing w:line="360" w:lineRule="auto"/>
              <w:jc w:val="both"/>
              <w:rPr>
                <w:rFonts w:cs="Times New Roman"/>
              </w:rPr>
            </w:pPr>
            <w:r w:rsidRPr="007A7ACD">
              <w:rPr>
                <w:rFonts w:cs="Times New Roman"/>
              </w:rPr>
              <w:t>State S</w:t>
            </w:r>
            <w:r w:rsidRPr="007A7ACD">
              <w:rPr>
                <w:rFonts w:cs="Times New Roman"/>
                <w:vertAlign w:val="subscript"/>
              </w:rPr>
              <w:t>1</w:t>
            </w:r>
          </w:p>
        </w:tc>
        <w:tc>
          <w:tcPr>
            <w:tcW w:w="2682" w:type="dxa"/>
          </w:tcPr>
          <w:p w14:paraId="6471657D" w14:textId="77777777" w:rsidR="00690BD0" w:rsidRPr="007A7ACD" w:rsidRDefault="00690BD0" w:rsidP="000E0EFB">
            <w:pPr>
              <w:spacing w:line="360" w:lineRule="auto"/>
              <w:jc w:val="both"/>
              <w:rPr>
                <w:rFonts w:cs="Times New Roman"/>
              </w:rPr>
            </w:pPr>
            <w:r w:rsidRPr="007A7ACD">
              <w:rPr>
                <w:rFonts w:cs="Times New Roman"/>
              </w:rPr>
              <w:t>State S</w:t>
            </w:r>
            <w:r w:rsidRPr="007A7ACD">
              <w:rPr>
                <w:rFonts w:cs="Times New Roman"/>
              </w:rPr>
              <w:softHyphen/>
            </w:r>
            <w:r w:rsidRPr="007A7ACD">
              <w:rPr>
                <w:rFonts w:cs="Times New Roman"/>
                <w:vertAlign w:val="subscript"/>
              </w:rPr>
              <w:t>2</w:t>
            </w:r>
          </w:p>
        </w:tc>
        <w:tc>
          <w:tcPr>
            <w:tcW w:w="2682" w:type="dxa"/>
          </w:tcPr>
          <w:p w14:paraId="6D4F468C" w14:textId="77777777" w:rsidR="00690BD0" w:rsidRPr="007A7ACD" w:rsidRDefault="00690BD0" w:rsidP="000E0EFB">
            <w:pPr>
              <w:spacing w:line="360" w:lineRule="auto"/>
              <w:jc w:val="both"/>
              <w:rPr>
                <w:rFonts w:cs="Times New Roman"/>
              </w:rPr>
            </w:pPr>
            <w:r w:rsidRPr="007A7ACD">
              <w:rPr>
                <w:rFonts w:cs="Times New Roman"/>
                <w:i/>
              </w:rPr>
              <w:t>Prospects</w:t>
            </w:r>
          </w:p>
        </w:tc>
      </w:tr>
      <w:tr w:rsidR="00690BD0" w:rsidRPr="007A7ACD" w14:paraId="3A7993DA" w14:textId="77777777" w:rsidTr="00BC61D6">
        <w:tc>
          <w:tcPr>
            <w:tcW w:w="1693" w:type="dxa"/>
          </w:tcPr>
          <w:p w14:paraId="12C99CD7" w14:textId="77777777" w:rsidR="00690BD0" w:rsidRPr="007A7ACD" w:rsidRDefault="00690BD0" w:rsidP="000E0EFB">
            <w:pPr>
              <w:spacing w:line="360" w:lineRule="auto"/>
              <w:jc w:val="both"/>
              <w:rPr>
                <w:rFonts w:cs="Times New Roman"/>
                <w:i/>
              </w:rPr>
            </w:pPr>
          </w:p>
        </w:tc>
        <w:tc>
          <w:tcPr>
            <w:tcW w:w="2409" w:type="dxa"/>
          </w:tcPr>
          <w:p w14:paraId="5B929B67" w14:textId="77777777" w:rsidR="00690BD0" w:rsidRPr="007A7ACD" w:rsidRDefault="00690BD0" w:rsidP="000E0EFB">
            <w:pPr>
              <w:spacing w:line="360" w:lineRule="auto"/>
              <w:jc w:val="both"/>
              <w:rPr>
                <w:rFonts w:cs="Times New Roman"/>
              </w:rPr>
            </w:pPr>
            <w:r w:rsidRPr="007A7ACD">
              <w:rPr>
                <w:rFonts w:cs="Times New Roman"/>
              </w:rPr>
              <w:t>P(S</w:t>
            </w:r>
            <w:r w:rsidRPr="007A7ACD">
              <w:rPr>
                <w:rFonts w:cs="Times New Roman"/>
                <w:vertAlign w:val="subscript"/>
              </w:rPr>
              <w:t>1</w:t>
            </w:r>
            <w:r w:rsidRPr="007A7ACD">
              <w:rPr>
                <w:rFonts w:cs="Times New Roman"/>
              </w:rPr>
              <w:t>) = 0.5</w:t>
            </w:r>
          </w:p>
        </w:tc>
        <w:tc>
          <w:tcPr>
            <w:tcW w:w="2682" w:type="dxa"/>
          </w:tcPr>
          <w:p w14:paraId="22609A35" w14:textId="77777777" w:rsidR="00690BD0" w:rsidRPr="007A7ACD" w:rsidRDefault="00690BD0" w:rsidP="000E0EFB">
            <w:pPr>
              <w:spacing w:line="360" w:lineRule="auto"/>
              <w:jc w:val="both"/>
              <w:rPr>
                <w:rFonts w:cs="Times New Roman"/>
              </w:rPr>
            </w:pPr>
            <w:r w:rsidRPr="007A7ACD">
              <w:rPr>
                <w:rFonts w:cs="Times New Roman"/>
              </w:rPr>
              <w:t>P(S</w:t>
            </w:r>
            <w:r w:rsidRPr="007A7ACD">
              <w:rPr>
                <w:rFonts w:cs="Times New Roman"/>
                <w:vertAlign w:val="subscript"/>
              </w:rPr>
              <w:t>2</w:t>
            </w:r>
            <w:r w:rsidRPr="007A7ACD">
              <w:rPr>
                <w:rFonts w:cs="Times New Roman"/>
              </w:rPr>
              <w:t>) = 0.5</w:t>
            </w:r>
          </w:p>
        </w:tc>
        <w:tc>
          <w:tcPr>
            <w:tcW w:w="2682" w:type="dxa"/>
          </w:tcPr>
          <w:p w14:paraId="6F08AA49" w14:textId="77777777" w:rsidR="00690BD0" w:rsidRPr="007A7ACD" w:rsidRDefault="00690BD0" w:rsidP="000E0EFB">
            <w:pPr>
              <w:spacing w:line="360" w:lineRule="auto"/>
              <w:jc w:val="both"/>
              <w:rPr>
                <w:rFonts w:cs="Times New Roman"/>
              </w:rPr>
            </w:pPr>
          </w:p>
        </w:tc>
      </w:tr>
      <w:tr w:rsidR="00690BD0" w14:paraId="023F1AFE" w14:textId="77777777" w:rsidTr="00BC61D6">
        <w:tc>
          <w:tcPr>
            <w:tcW w:w="1693" w:type="dxa"/>
          </w:tcPr>
          <w:p w14:paraId="6529EA3C" w14:textId="77777777" w:rsidR="00690BD0" w:rsidRPr="007A7ACD" w:rsidRDefault="00690BD0" w:rsidP="000E0EFB">
            <w:pPr>
              <w:spacing w:line="360" w:lineRule="auto"/>
              <w:jc w:val="both"/>
              <w:rPr>
                <w:rFonts w:cs="Times New Roman"/>
                <w:i/>
              </w:rPr>
            </w:pPr>
            <w:r w:rsidRPr="007A7ACD">
              <w:rPr>
                <w:rFonts w:cs="Times New Roman"/>
                <w:i/>
              </w:rPr>
              <w:t>Risk</w:t>
            </w:r>
          </w:p>
        </w:tc>
        <w:tc>
          <w:tcPr>
            <w:tcW w:w="2409" w:type="dxa"/>
          </w:tcPr>
          <w:p w14:paraId="140BEA0C" w14:textId="3E9225F0" w:rsidR="00690BD0" w:rsidRDefault="00690BD0" w:rsidP="000E0EFB">
            <w:pPr>
              <w:spacing w:line="360" w:lineRule="auto"/>
              <w:jc w:val="both"/>
              <w:rPr>
                <w:rFonts w:cs="Times New Roman"/>
              </w:rPr>
            </w:pPr>
            <w:r>
              <w:rPr>
                <w:rFonts w:cs="Times New Roman"/>
              </w:rPr>
              <w:t>The F: 9</w:t>
            </w:r>
          </w:p>
          <w:p w14:paraId="281E9791" w14:textId="55790DEB" w:rsidR="00690BD0" w:rsidRPr="002321A9" w:rsidRDefault="00690BD0" w:rsidP="000E0EFB">
            <w:pPr>
              <w:spacing w:line="360" w:lineRule="auto"/>
              <w:jc w:val="both"/>
              <w:rPr>
                <w:rFonts w:cs="Times New Roman"/>
              </w:rPr>
            </w:pPr>
            <w:r>
              <w:rPr>
                <w:rFonts w:cs="Times New Roman"/>
              </w:rPr>
              <w:t>The F*: 9</w:t>
            </w:r>
          </w:p>
        </w:tc>
        <w:tc>
          <w:tcPr>
            <w:tcW w:w="2682" w:type="dxa"/>
          </w:tcPr>
          <w:p w14:paraId="38A95AE9" w14:textId="69B36BE5" w:rsidR="00690BD0" w:rsidRDefault="00690BD0" w:rsidP="000E0EFB">
            <w:pPr>
              <w:spacing w:line="360" w:lineRule="auto"/>
              <w:jc w:val="both"/>
              <w:rPr>
                <w:rFonts w:cs="Times New Roman"/>
              </w:rPr>
            </w:pPr>
            <w:r>
              <w:rPr>
                <w:rFonts w:cs="Times New Roman"/>
              </w:rPr>
              <w:t>The F: 0</w:t>
            </w:r>
          </w:p>
          <w:p w14:paraId="54117030" w14:textId="710CA3AE" w:rsidR="00690BD0" w:rsidRPr="007A7ACD" w:rsidRDefault="00690BD0" w:rsidP="000E0EFB">
            <w:pPr>
              <w:spacing w:line="360" w:lineRule="auto"/>
              <w:jc w:val="both"/>
              <w:rPr>
                <w:rFonts w:cs="Times New Roman"/>
              </w:rPr>
            </w:pPr>
            <w:r>
              <w:rPr>
                <w:rFonts w:cs="Times New Roman"/>
              </w:rPr>
              <w:t>The F*: 0</w:t>
            </w:r>
          </w:p>
        </w:tc>
        <w:tc>
          <w:tcPr>
            <w:tcW w:w="2682" w:type="dxa"/>
          </w:tcPr>
          <w:p w14:paraId="3C09CF95" w14:textId="1EA0F82A" w:rsidR="00690BD0" w:rsidRDefault="00690BD0" w:rsidP="000E0EFB">
            <w:pPr>
              <w:spacing w:line="360" w:lineRule="auto"/>
              <w:jc w:val="both"/>
              <w:rPr>
                <w:rFonts w:cs="Times New Roman"/>
              </w:rPr>
            </w:pPr>
            <w:r>
              <w:rPr>
                <w:rFonts w:cs="Times New Roman"/>
              </w:rPr>
              <w:t>The F: 4.5</w:t>
            </w:r>
          </w:p>
          <w:p w14:paraId="5F6D616A" w14:textId="69A3867E" w:rsidR="00690BD0" w:rsidRDefault="00690BD0" w:rsidP="000E0EFB">
            <w:pPr>
              <w:spacing w:line="360" w:lineRule="auto"/>
              <w:jc w:val="both"/>
              <w:rPr>
                <w:rFonts w:cs="Times New Roman"/>
              </w:rPr>
            </w:pPr>
            <w:r>
              <w:rPr>
                <w:rFonts w:cs="Times New Roman"/>
              </w:rPr>
              <w:t>The F*: 4.5</w:t>
            </w:r>
          </w:p>
        </w:tc>
      </w:tr>
      <w:tr w:rsidR="00690BD0" w14:paraId="7E8DD4C4" w14:textId="77777777" w:rsidTr="00BC61D6">
        <w:tc>
          <w:tcPr>
            <w:tcW w:w="1693" w:type="dxa"/>
          </w:tcPr>
          <w:p w14:paraId="49FB42F0" w14:textId="77777777" w:rsidR="00690BD0" w:rsidRPr="007A7ACD" w:rsidRDefault="00690BD0" w:rsidP="000E0EFB">
            <w:pPr>
              <w:spacing w:line="360" w:lineRule="auto"/>
              <w:jc w:val="both"/>
              <w:rPr>
                <w:rFonts w:cs="Times New Roman"/>
                <w:i/>
              </w:rPr>
            </w:pPr>
            <w:r w:rsidRPr="007A7ACD">
              <w:rPr>
                <w:rFonts w:cs="Times New Roman"/>
                <w:i/>
              </w:rPr>
              <w:t>Safe</w:t>
            </w:r>
          </w:p>
        </w:tc>
        <w:tc>
          <w:tcPr>
            <w:tcW w:w="2409" w:type="dxa"/>
          </w:tcPr>
          <w:p w14:paraId="4743C1AA" w14:textId="2E5389BE" w:rsidR="00690BD0" w:rsidRDefault="00690BD0" w:rsidP="000E0EFB">
            <w:pPr>
              <w:spacing w:line="360" w:lineRule="auto"/>
              <w:jc w:val="both"/>
              <w:rPr>
                <w:rFonts w:cs="Times New Roman"/>
              </w:rPr>
            </w:pPr>
            <w:r>
              <w:rPr>
                <w:rFonts w:cs="Times New Roman"/>
              </w:rPr>
              <w:t>The F: 4</w:t>
            </w:r>
          </w:p>
          <w:p w14:paraId="0D696463" w14:textId="03F32173" w:rsidR="00690BD0" w:rsidRPr="00C96E81" w:rsidRDefault="00690BD0" w:rsidP="000E0EFB">
            <w:pPr>
              <w:spacing w:line="360" w:lineRule="auto"/>
              <w:jc w:val="both"/>
              <w:rPr>
                <w:rFonts w:cs="Times New Roman"/>
              </w:rPr>
            </w:pPr>
            <w:r>
              <w:rPr>
                <w:rFonts w:cs="Times New Roman"/>
              </w:rPr>
              <w:t>The F*: 4</w:t>
            </w:r>
          </w:p>
        </w:tc>
        <w:tc>
          <w:tcPr>
            <w:tcW w:w="2682" w:type="dxa"/>
          </w:tcPr>
          <w:p w14:paraId="1F3CE456" w14:textId="4726ED5F" w:rsidR="00690BD0" w:rsidRDefault="00690BD0" w:rsidP="000E0EFB">
            <w:pPr>
              <w:spacing w:line="360" w:lineRule="auto"/>
              <w:jc w:val="both"/>
              <w:rPr>
                <w:rFonts w:cs="Times New Roman"/>
              </w:rPr>
            </w:pPr>
            <w:r>
              <w:rPr>
                <w:rFonts w:cs="Times New Roman"/>
              </w:rPr>
              <w:t>The F: 4</w:t>
            </w:r>
          </w:p>
          <w:p w14:paraId="7E107DD2" w14:textId="1E8E9EB0" w:rsidR="00690BD0" w:rsidRPr="007A7ACD" w:rsidRDefault="00690BD0" w:rsidP="000E0EFB">
            <w:pPr>
              <w:spacing w:line="360" w:lineRule="auto"/>
              <w:jc w:val="both"/>
              <w:rPr>
                <w:rFonts w:cs="Times New Roman"/>
              </w:rPr>
            </w:pPr>
            <w:r>
              <w:rPr>
                <w:rFonts w:cs="Times New Roman"/>
              </w:rPr>
              <w:t>The F*: 4</w:t>
            </w:r>
          </w:p>
        </w:tc>
        <w:tc>
          <w:tcPr>
            <w:tcW w:w="2682" w:type="dxa"/>
          </w:tcPr>
          <w:p w14:paraId="59B7E589" w14:textId="39BBE3C7" w:rsidR="00690BD0" w:rsidRDefault="00690BD0" w:rsidP="000E0EFB">
            <w:pPr>
              <w:spacing w:line="360" w:lineRule="auto"/>
              <w:jc w:val="both"/>
              <w:rPr>
                <w:rFonts w:cs="Times New Roman"/>
              </w:rPr>
            </w:pPr>
            <w:r>
              <w:rPr>
                <w:rFonts w:cs="Times New Roman"/>
              </w:rPr>
              <w:t>The F: 4</w:t>
            </w:r>
          </w:p>
          <w:p w14:paraId="7EEDA988" w14:textId="23D5772B" w:rsidR="00690BD0" w:rsidRDefault="00690BD0" w:rsidP="000E0EFB">
            <w:pPr>
              <w:spacing w:line="360" w:lineRule="auto"/>
              <w:jc w:val="both"/>
              <w:rPr>
                <w:rFonts w:cs="Times New Roman"/>
              </w:rPr>
            </w:pPr>
            <w:r>
              <w:rPr>
                <w:rFonts w:cs="Times New Roman"/>
              </w:rPr>
              <w:t>The F*: 4</w:t>
            </w:r>
          </w:p>
        </w:tc>
      </w:tr>
    </w:tbl>
    <w:p w14:paraId="5846CD75" w14:textId="479D4160" w:rsidR="00690BD0" w:rsidRPr="00AB3A1B" w:rsidRDefault="00690BD0" w:rsidP="00AB3A1B">
      <w:pPr>
        <w:jc w:val="both"/>
        <w:rPr>
          <w:i/>
        </w:rPr>
      </w:pPr>
      <w:r>
        <w:rPr>
          <w:i/>
        </w:rPr>
        <w:t>Table 6</w:t>
      </w:r>
    </w:p>
    <w:p w14:paraId="620E2B31" w14:textId="32E50482" w:rsidR="00690BD0" w:rsidRDefault="00690BD0" w:rsidP="00CD7E8C">
      <w:pPr>
        <w:jc w:val="both"/>
      </w:pPr>
      <w:r>
        <w:t xml:space="preserve">Relative to all admissible sets of designators, </w:t>
      </w:r>
      <w:r>
        <w:rPr>
          <w:i/>
          <w:iCs/>
        </w:rPr>
        <w:t>Risk</w:t>
      </w:r>
      <w:r>
        <w:t xml:space="preserve"> is </w:t>
      </w:r>
      <w:r>
        <w:rPr>
          <w:i/>
          <w:iCs/>
        </w:rPr>
        <w:t>ex ante</w:t>
      </w:r>
      <w:r>
        <w:t xml:space="preserve"> Pareto superior to </w:t>
      </w:r>
      <w:r>
        <w:rPr>
          <w:i/>
          <w:iCs/>
        </w:rPr>
        <w:t>Safe</w:t>
      </w:r>
      <w:r>
        <w:t xml:space="preserve">, and so it is </w:t>
      </w:r>
      <w:r>
        <w:rPr>
          <w:i/>
          <w:iCs/>
        </w:rPr>
        <w:t xml:space="preserve">ex ante </w:t>
      </w:r>
      <w:r>
        <w:t>Pareto superior</w:t>
      </w:r>
      <w:r>
        <w:rPr>
          <w:vertAlign w:val="subscript"/>
        </w:rPr>
        <w:t>sup</w:t>
      </w:r>
      <w:r>
        <w:t xml:space="preserve">. However the ESTWB is greater under </w:t>
      </w:r>
      <w:r>
        <w:rPr>
          <w:i/>
          <w:iCs/>
        </w:rPr>
        <w:t>Safe</w:t>
      </w:r>
      <w:r>
        <w:t xml:space="preserve"> than under </w:t>
      </w:r>
      <w:r>
        <w:rPr>
          <w:i/>
          <w:iCs/>
        </w:rPr>
        <w:t>Risk</w:t>
      </w:r>
      <w:r>
        <w:t xml:space="preserve">. Both Harry’s and Ian’s transformed wellbeing under </w:t>
      </w:r>
      <w:r>
        <w:rPr>
          <w:i/>
          <w:iCs/>
        </w:rPr>
        <w:t>Risk</w:t>
      </w:r>
      <w:r>
        <w:t xml:space="preserve"> is </w:t>
      </w:r>
      <w:r>
        <w:sym w:font="Symbol" w:char="F0D6"/>
      </w:r>
      <w:r>
        <w:t>9=3 at S</w:t>
      </w:r>
      <w:r>
        <w:rPr>
          <w:vertAlign w:val="subscript"/>
        </w:rPr>
        <w:t>1</w:t>
      </w:r>
      <w:r>
        <w:t xml:space="preserve">, and </w:t>
      </w:r>
      <w:r>
        <w:sym w:font="Symbol" w:char="F0D6"/>
      </w:r>
      <w:r>
        <w:t>0=0 at S</w:t>
      </w:r>
      <w:r>
        <w:rPr>
          <w:vertAlign w:val="subscript"/>
        </w:rPr>
        <w:t>2</w:t>
      </w:r>
      <w:r>
        <w:t xml:space="preserve">, and under </w:t>
      </w:r>
      <w:r>
        <w:rPr>
          <w:i/>
          <w:iCs/>
        </w:rPr>
        <w:t>Safe</w:t>
      </w:r>
      <w:r>
        <w:t xml:space="preserve"> it is </w:t>
      </w:r>
      <w:r>
        <w:sym w:font="Symbol" w:char="F0D6"/>
      </w:r>
      <w:r>
        <w:t>4=2 at both S</w:t>
      </w:r>
      <w:r>
        <w:rPr>
          <w:vertAlign w:val="subscript"/>
        </w:rPr>
        <w:t>1</w:t>
      </w:r>
      <w:r>
        <w:t xml:space="preserve"> and S</w:t>
      </w:r>
      <w:r>
        <w:rPr>
          <w:vertAlign w:val="subscript"/>
        </w:rPr>
        <w:t>2</w:t>
      </w:r>
      <w:r>
        <w:t xml:space="preserve">. Thus the ESTWB under </w:t>
      </w:r>
      <w:r>
        <w:rPr>
          <w:i/>
          <w:iCs/>
        </w:rPr>
        <w:t>Risk</w:t>
      </w:r>
      <w:r>
        <w:t xml:space="preserve"> is (0.5)(3)+(0.5)(3)+(0.5)(0)+(0.5)(0)=3, and the ESTWB under </w:t>
      </w:r>
      <w:r>
        <w:rPr>
          <w:i/>
          <w:iCs/>
        </w:rPr>
        <w:t>Safe</w:t>
      </w:r>
      <w:r>
        <w:t xml:space="preserve"> is (0.5)(2)+(0.5)(2)+(0.5)(2)+(0.5)(2)=4. We get the same result here, of course, if we focus on the F and the F* rather than Harry and Ian: in cases where all agents are identically situated, it doesn’t matter which admissible set of designators we choose. Thus ESTWB is greater under </w:t>
      </w:r>
      <w:r>
        <w:rPr>
          <w:i/>
          <w:iCs/>
        </w:rPr>
        <w:t>Safe</w:t>
      </w:r>
      <w:r>
        <w:t xml:space="preserve"> than under </w:t>
      </w:r>
      <w:r>
        <w:rPr>
          <w:i/>
          <w:iCs/>
        </w:rPr>
        <w:t>Risk</w:t>
      </w:r>
      <w:r>
        <w:t xml:space="preserve">, and so continuous-prioritarianism mandates </w:t>
      </w:r>
      <w:r>
        <w:rPr>
          <w:i/>
          <w:iCs/>
        </w:rPr>
        <w:t>Safe</w:t>
      </w:r>
      <w:r>
        <w:t xml:space="preserve"> over </w:t>
      </w:r>
      <w:r>
        <w:rPr>
          <w:i/>
          <w:iCs/>
        </w:rPr>
        <w:t>Risk</w:t>
      </w:r>
      <w:r>
        <w:t xml:space="preserve">, which is in conflict with the </w:t>
      </w:r>
      <w:r>
        <w:rPr>
          <w:i/>
          <w:iCs/>
        </w:rPr>
        <w:t>ex ante</w:t>
      </w:r>
      <w:r>
        <w:t xml:space="preserve"> Pareto principle</w:t>
      </w:r>
      <w:r>
        <w:rPr>
          <w:vertAlign w:val="subscript"/>
        </w:rPr>
        <w:t>sup</w:t>
      </w:r>
      <w:r>
        <w:t>. This gives us the result below, and a possible reason to reject continuous prioritarianism:</w:t>
      </w:r>
    </w:p>
    <w:p w14:paraId="549BDC2E" w14:textId="3DBD766B" w:rsidR="00690BD0" w:rsidRPr="00AF37CE" w:rsidRDefault="00690BD0" w:rsidP="00AF37CE">
      <w:pPr>
        <w:pStyle w:val="ListParagraph"/>
        <w:numPr>
          <w:ilvl w:val="0"/>
          <w:numId w:val="26"/>
        </w:numPr>
        <w:jc w:val="both"/>
      </w:pPr>
      <w:r>
        <w:lastRenderedPageBreak/>
        <w:t xml:space="preserve">Continuous prioritarianism is incompatible with the </w:t>
      </w:r>
      <w:r w:rsidRPr="00AF37CE">
        <w:rPr>
          <w:i/>
          <w:iCs/>
        </w:rPr>
        <w:t>ex ante</w:t>
      </w:r>
      <w:r>
        <w:t xml:space="preserve"> Pareto principle</w:t>
      </w:r>
      <w:r w:rsidRPr="00AF37CE">
        <w:rPr>
          <w:vertAlign w:val="subscript"/>
        </w:rPr>
        <w:t>sup</w:t>
      </w:r>
      <w:r w:rsidRPr="00AF37CE">
        <w:rPr>
          <w:vertAlign w:val="subscript"/>
        </w:rPr>
        <w:softHyphen/>
      </w:r>
    </w:p>
    <w:p w14:paraId="1E9350DC" w14:textId="77777777" w:rsidR="00690BD0" w:rsidRPr="00154323" w:rsidRDefault="00690BD0" w:rsidP="00AF37CE">
      <w:pPr>
        <w:ind w:left="360"/>
        <w:jc w:val="both"/>
      </w:pPr>
    </w:p>
    <w:p w14:paraId="4F00506E" w14:textId="77777777" w:rsidR="00690BD0" w:rsidRPr="001859AE" w:rsidRDefault="00690BD0" w:rsidP="00AF37CE">
      <w:pPr>
        <w:pStyle w:val="Heading3"/>
      </w:pPr>
      <w:r w:rsidRPr="001859AE">
        <w:t>Heartland cases</w:t>
      </w:r>
    </w:p>
    <w:p w14:paraId="5A1A686C" w14:textId="12F5F095" w:rsidR="00690BD0" w:rsidRDefault="00690BD0" w:rsidP="00AF37CE">
      <w:pPr>
        <w:jc w:val="both"/>
        <w:rPr>
          <w:rFonts w:cs="Times New Roman"/>
          <w:iCs/>
        </w:rPr>
      </w:pPr>
      <w:r>
        <w:rPr>
          <w:rFonts w:cs="Times New Roman"/>
          <w:iCs/>
        </w:rPr>
        <w:t>Matt Adler and Nils Holtung define ‘Heartland Cases’ as follows:</w:t>
      </w:r>
    </w:p>
    <w:p w14:paraId="4224D69E" w14:textId="1FFE0FB7" w:rsidR="00690BD0" w:rsidRDefault="00690BD0" w:rsidP="00AF37CE">
      <w:pPr>
        <w:ind w:left="720"/>
        <w:jc w:val="both"/>
      </w:pPr>
      <w:r>
        <w:t xml:space="preserve">Let’s say that the comparison of two prospects, P and P*, presents a ‘heartland case’ for the </w:t>
      </w:r>
      <w:r w:rsidRPr="00514A5A">
        <w:rPr>
          <w:i/>
          <w:iCs/>
        </w:rPr>
        <w:t xml:space="preserve">ex ante </w:t>
      </w:r>
      <w:r>
        <w:t xml:space="preserve">Pareto principles if the following holds true: (a) some number of individuals (meaning zero or more) are sure to be unaffected by the P/P* choice and (b) all other individuals are equally situated (each such individual has the very same state-conditional well-being level as every other). </w:t>
      </w:r>
    </w:p>
    <w:p w14:paraId="1A4A4E02" w14:textId="2A5F2EB4" w:rsidR="00690BD0" w:rsidRDefault="00CE7B57" w:rsidP="00AF37CE">
      <w:pPr>
        <w:ind w:left="720"/>
        <w:jc w:val="both"/>
        <w:rPr>
          <w:rFonts w:cs="Times New Roman"/>
          <w:iCs/>
        </w:rPr>
      </w:pPr>
      <w:sdt>
        <w:sdtPr>
          <w:rPr>
            <w:rFonts w:cs="Times New Roman"/>
            <w:iCs/>
          </w:rPr>
          <w:id w:val="1529600204"/>
          <w:citation/>
        </w:sdtPr>
        <w:sdtEndPr/>
        <w:sdtContent>
          <w:r w:rsidR="00690BD0">
            <w:rPr>
              <w:rFonts w:cs="Times New Roman"/>
              <w:iCs/>
            </w:rPr>
            <w:fldChar w:fldCharType="begin"/>
          </w:r>
          <w:r w:rsidR="00690BD0">
            <w:instrText xml:space="preserve">CITATION Adl19 \p 115 \t  \l 2057 </w:instrText>
          </w:r>
          <w:r w:rsidR="00690BD0">
            <w:rPr>
              <w:rFonts w:cs="Times New Roman"/>
              <w:iCs/>
            </w:rPr>
            <w:fldChar w:fldCharType="separate"/>
          </w:r>
          <w:r w:rsidR="00122864">
            <w:rPr>
              <w:noProof/>
            </w:rPr>
            <w:t>(Adler and Holtung 2019, 115)</w:t>
          </w:r>
          <w:r w:rsidR="00690BD0">
            <w:rPr>
              <w:rFonts w:cs="Times New Roman"/>
              <w:iCs/>
            </w:rPr>
            <w:fldChar w:fldCharType="end"/>
          </w:r>
        </w:sdtContent>
      </w:sdt>
    </w:p>
    <w:p w14:paraId="242BFD48" w14:textId="2D2259F1" w:rsidR="00690BD0" w:rsidRDefault="00690BD0" w:rsidP="00AF37CE">
      <w:pPr>
        <w:jc w:val="both"/>
        <w:rPr>
          <w:rFonts w:cs="Times New Roman"/>
          <w:iCs/>
        </w:rPr>
      </w:pPr>
      <w:r>
        <w:rPr>
          <w:rFonts w:cs="Times New Roman"/>
          <w:iCs/>
        </w:rPr>
        <w:t xml:space="preserve">Theorists who reject the </w:t>
      </w:r>
      <w:r>
        <w:rPr>
          <w:rFonts w:cs="Times New Roman"/>
          <w:i/>
        </w:rPr>
        <w:t>ex ante</w:t>
      </w:r>
      <w:r>
        <w:rPr>
          <w:rFonts w:cs="Times New Roman"/>
          <w:iCs/>
        </w:rPr>
        <w:t xml:space="preserve"> Pareto principle have a particularly hard job justifying their stance where heartland cases are concerned. For, we might think, when choosing between policies we need not consider those for whom the choice of policy will make no difference, and in heartland cases the individuals for whom the choice may make a different all face exactly the same outcome in each state, and so the situation is effectively like that in which we have a choice which concerns just one individual. And when we have a choice which just concerns one individual, it seems compelling that we should choose so as to maximise that person’s prospects.</w:t>
      </w:r>
      <w:r w:rsidR="000168CE">
        <w:rPr>
          <w:rStyle w:val="FootnoteReference"/>
          <w:rFonts w:cs="Times New Roman"/>
          <w:iCs/>
        </w:rPr>
        <w:footnoteReference w:id="13"/>
      </w:r>
      <w:r w:rsidR="000168CE">
        <w:rPr>
          <w:rFonts w:cs="Times New Roman"/>
          <w:iCs/>
        </w:rPr>
        <w:t xml:space="preserve"> </w:t>
      </w:r>
    </w:p>
    <w:p w14:paraId="2F9F57B4" w14:textId="6EC88BAC" w:rsidR="00AF37CE" w:rsidRPr="00934788" w:rsidRDefault="00AF37CE" w:rsidP="00AF37CE">
      <w:pPr>
        <w:jc w:val="both"/>
        <w:rPr>
          <w:rFonts w:cs="Times New Roman"/>
          <w:iCs/>
        </w:rPr>
      </w:pPr>
      <w:r>
        <w:rPr>
          <w:rFonts w:cs="Times New Roman"/>
          <w:iCs/>
        </w:rPr>
        <w:lastRenderedPageBreak/>
        <w:t xml:space="preserve">Here is an illustration of a heartland case, where the </w:t>
      </w:r>
      <w:r>
        <w:rPr>
          <w:rFonts w:cs="Times New Roman"/>
          <w:i/>
        </w:rPr>
        <w:t>ex ante</w:t>
      </w:r>
      <w:r>
        <w:rPr>
          <w:rFonts w:cs="Times New Roman"/>
          <w:iCs/>
        </w:rPr>
        <w:t xml:space="preserve"> </w:t>
      </w:r>
      <w:r w:rsidR="00AC7632">
        <w:rPr>
          <w:rFonts w:cs="Times New Roman"/>
          <w:iCs/>
        </w:rPr>
        <w:t>Pareto</w:t>
      </w:r>
      <w:r>
        <w:rPr>
          <w:rFonts w:cs="Times New Roman"/>
          <w:iCs/>
        </w:rPr>
        <w:t xml:space="preserve"> principle seems to dictate a particular policy:</w:t>
      </w:r>
    </w:p>
    <w:tbl>
      <w:tblPr>
        <w:tblStyle w:val="TableGrid"/>
        <w:tblW w:w="0" w:type="auto"/>
        <w:tblLook w:val="04A0" w:firstRow="1" w:lastRow="0" w:firstColumn="1" w:lastColumn="0" w:noHBand="0" w:noVBand="1"/>
      </w:tblPr>
      <w:tblGrid>
        <w:gridCol w:w="1693"/>
        <w:gridCol w:w="2409"/>
        <w:gridCol w:w="2682"/>
        <w:gridCol w:w="2232"/>
      </w:tblGrid>
      <w:tr w:rsidR="00AF37CE" w:rsidRPr="003E660F" w14:paraId="6A822D59" w14:textId="77777777" w:rsidTr="00BC61D6">
        <w:trPr>
          <w:trHeight w:val="452"/>
        </w:trPr>
        <w:tc>
          <w:tcPr>
            <w:tcW w:w="1693" w:type="dxa"/>
          </w:tcPr>
          <w:p w14:paraId="0EF457FB" w14:textId="77777777" w:rsidR="00AF37CE" w:rsidRPr="003E660F" w:rsidRDefault="00AF37CE" w:rsidP="000E0EFB">
            <w:pPr>
              <w:spacing w:line="360" w:lineRule="auto"/>
              <w:jc w:val="both"/>
              <w:rPr>
                <w:rFonts w:cs="Times New Roman"/>
              </w:rPr>
            </w:pPr>
          </w:p>
        </w:tc>
        <w:tc>
          <w:tcPr>
            <w:tcW w:w="2409" w:type="dxa"/>
          </w:tcPr>
          <w:p w14:paraId="4EDFE584" w14:textId="77777777" w:rsidR="00AF37CE" w:rsidRPr="003E660F" w:rsidRDefault="00AF37CE" w:rsidP="000E0EFB">
            <w:pPr>
              <w:spacing w:line="360" w:lineRule="auto"/>
              <w:jc w:val="both"/>
              <w:rPr>
                <w:rFonts w:cs="Times New Roman"/>
              </w:rPr>
            </w:pPr>
            <w:r w:rsidRPr="003E660F">
              <w:rPr>
                <w:rFonts w:cs="Times New Roman"/>
              </w:rPr>
              <w:t>State S</w:t>
            </w:r>
            <w:r w:rsidRPr="003E660F">
              <w:rPr>
                <w:rFonts w:cs="Times New Roman"/>
                <w:vertAlign w:val="subscript"/>
              </w:rPr>
              <w:t>1</w:t>
            </w:r>
            <w:r w:rsidRPr="003E660F">
              <w:rPr>
                <w:rFonts w:cs="Times New Roman"/>
              </w:rPr>
              <w:t xml:space="preserve">: </w:t>
            </w:r>
            <w:r>
              <w:rPr>
                <w:rFonts w:cs="Times New Roman"/>
              </w:rPr>
              <w:t>HEADS</w:t>
            </w:r>
          </w:p>
        </w:tc>
        <w:tc>
          <w:tcPr>
            <w:tcW w:w="2682" w:type="dxa"/>
          </w:tcPr>
          <w:p w14:paraId="7E74CEAB" w14:textId="77777777" w:rsidR="00AF37CE" w:rsidRPr="003E660F" w:rsidRDefault="00AF37CE" w:rsidP="000E0EFB">
            <w:pPr>
              <w:spacing w:line="360" w:lineRule="auto"/>
              <w:jc w:val="both"/>
              <w:rPr>
                <w:rFonts w:cs="Times New Roman"/>
              </w:rPr>
            </w:pPr>
            <w:r w:rsidRPr="003E660F">
              <w:rPr>
                <w:rFonts w:cs="Times New Roman"/>
              </w:rPr>
              <w:t>State S</w:t>
            </w:r>
            <w:r w:rsidRPr="003E660F">
              <w:rPr>
                <w:rFonts w:cs="Times New Roman"/>
              </w:rPr>
              <w:softHyphen/>
            </w:r>
            <w:r w:rsidRPr="003E660F">
              <w:rPr>
                <w:rFonts w:cs="Times New Roman"/>
                <w:vertAlign w:val="subscript"/>
              </w:rPr>
              <w:t>2</w:t>
            </w:r>
            <w:r w:rsidRPr="003E660F">
              <w:rPr>
                <w:rFonts w:cs="Times New Roman"/>
              </w:rPr>
              <w:t xml:space="preserve">: </w:t>
            </w:r>
            <w:r>
              <w:rPr>
                <w:rFonts w:cs="Times New Roman"/>
              </w:rPr>
              <w:t>TAILS</w:t>
            </w:r>
          </w:p>
        </w:tc>
        <w:tc>
          <w:tcPr>
            <w:tcW w:w="2232" w:type="dxa"/>
          </w:tcPr>
          <w:p w14:paraId="62296E87" w14:textId="77777777" w:rsidR="00AF37CE" w:rsidRPr="003E660F" w:rsidRDefault="00AF37CE" w:rsidP="000E0EFB">
            <w:pPr>
              <w:spacing w:line="360" w:lineRule="auto"/>
              <w:jc w:val="both"/>
              <w:rPr>
                <w:rFonts w:cs="Times New Roman"/>
                <w:i/>
              </w:rPr>
            </w:pPr>
            <w:r w:rsidRPr="003E660F">
              <w:rPr>
                <w:rFonts w:cs="Times New Roman"/>
                <w:i/>
              </w:rPr>
              <w:t>Prospect</w:t>
            </w:r>
            <w:r>
              <w:rPr>
                <w:rFonts w:cs="Times New Roman"/>
                <w:i/>
              </w:rPr>
              <w:t>s</w:t>
            </w:r>
          </w:p>
        </w:tc>
      </w:tr>
      <w:tr w:rsidR="00AF37CE" w:rsidRPr="003E660F" w14:paraId="571A3932" w14:textId="77777777" w:rsidTr="00BC61D6">
        <w:tc>
          <w:tcPr>
            <w:tcW w:w="1693" w:type="dxa"/>
          </w:tcPr>
          <w:p w14:paraId="1F129649" w14:textId="77777777" w:rsidR="00AF37CE" w:rsidRPr="003E660F" w:rsidRDefault="00AF37CE" w:rsidP="000E0EFB">
            <w:pPr>
              <w:spacing w:line="360" w:lineRule="auto"/>
              <w:jc w:val="both"/>
              <w:rPr>
                <w:rFonts w:cs="Times New Roman"/>
                <w:i/>
              </w:rPr>
            </w:pPr>
          </w:p>
        </w:tc>
        <w:tc>
          <w:tcPr>
            <w:tcW w:w="2409" w:type="dxa"/>
          </w:tcPr>
          <w:p w14:paraId="271C3807" w14:textId="77777777" w:rsidR="00AF37CE" w:rsidRPr="003E660F" w:rsidRDefault="00AF37CE" w:rsidP="000E0EFB">
            <w:pPr>
              <w:spacing w:line="360" w:lineRule="auto"/>
              <w:jc w:val="both"/>
              <w:rPr>
                <w:rFonts w:cs="Times New Roman"/>
              </w:rPr>
            </w:pPr>
            <w:r w:rsidRPr="003E660F">
              <w:rPr>
                <w:rFonts w:cs="Times New Roman"/>
              </w:rPr>
              <w:t>P(S</w:t>
            </w:r>
            <w:r w:rsidRPr="003E660F">
              <w:rPr>
                <w:rFonts w:cs="Times New Roman"/>
                <w:vertAlign w:val="subscript"/>
              </w:rPr>
              <w:t>1</w:t>
            </w:r>
            <w:r w:rsidRPr="003E660F">
              <w:rPr>
                <w:rFonts w:cs="Times New Roman"/>
              </w:rPr>
              <w:t>) = 0.5</w:t>
            </w:r>
          </w:p>
        </w:tc>
        <w:tc>
          <w:tcPr>
            <w:tcW w:w="2682" w:type="dxa"/>
          </w:tcPr>
          <w:p w14:paraId="009E1F4A" w14:textId="77777777" w:rsidR="00AF37CE" w:rsidRPr="003E660F" w:rsidRDefault="00AF37CE" w:rsidP="000E0EFB">
            <w:pPr>
              <w:spacing w:line="360" w:lineRule="auto"/>
              <w:jc w:val="both"/>
              <w:rPr>
                <w:rFonts w:cs="Times New Roman"/>
              </w:rPr>
            </w:pPr>
            <w:r w:rsidRPr="003E660F">
              <w:rPr>
                <w:rFonts w:cs="Times New Roman"/>
              </w:rPr>
              <w:t>P(S</w:t>
            </w:r>
            <w:r w:rsidRPr="003E660F">
              <w:rPr>
                <w:rFonts w:cs="Times New Roman"/>
                <w:vertAlign w:val="subscript"/>
              </w:rPr>
              <w:t>2</w:t>
            </w:r>
            <w:r w:rsidRPr="003E660F">
              <w:rPr>
                <w:rFonts w:cs="Times New Roman"/>
              </w:rPr>
              <w:t>) = 0.5</w:t>
            </w:r>
          </w:p>
        </w:tc>
        <w:tc>
          <w:tcPr>
            <w:tcW w:w="2232" w:type="dxa"/>
          </w:tcPr>
          <w:p w14:paraId="4D231CF1" w14:textId="77777777" w:rsidR="00AF37CE" w:rsidRPr="003E660F" w:rsidRDefault="00AF37CE" w:rsidP="000E0EFB">
            <w:pPr>
              <w:spacing w:line="360" w:lineRule="auto"/>
              <w:jc w:val="both"/>
              <w:rPr>
                <w:rFonts w:cs="Times New Roman"/>
              </w:rPr>
            </w:pPr>
          </w:p>
        </w:tc>
      </w:tr>
      <w:tr w:rsidR="00AF37CE" w:rsidRPr="003E660F" w14:paraId="3E5F46EC" w14:textId="77777777" w:rsidTr="00BC61D6">
        <w:tc>
          <w:tcPr>
            <w:tcW w:w="1693" w:type="dxa"/>
          </w:tcPr>
          <w:p w14:paraId="24110AD5" w14:textId="77777777" w:rsidR="00AF37CE" w:rsidRPr="00D2268E" w:rsidRDefault="00AF37CE" w:rsidP="000E0EFB">
            <w:pPr>
              <w:spacing w:line="360" w:lineRule="auto"/>
              <w:jc w:val="both"/>
              <w:rPr>
                <w:rFonts w:cs="Times New Roman"/>
                <w:i/>
              </w:rPr>
            </w:pPr>
            <w:r>
              <w:rPr>
                <w:rFonts w:cs="Times New Roman"/>
                <w:i/>
              </w:rPr>
              <w:t>Risk</w:t>
            </w:r>
          </w:p>
        </w:tc>
        <w:tc>
          <w:tcPr>
            <w:tcW w:w="2409" w:type="dxa"/>
          </w:tcPr>
          <w:p w14:paraId="3CD954C9" w14:textId="77777777" w:rsidR="00AF37CE" w:rsidRDefault="00AF37CE" w:rsidP="000E0EFB">
            <w:pPr>
              <w:spacing w:line="360" w:lineRule="auto"/>
              <w:jc w:val="both"/>
              <w:rPr>
                <w:rFonts w:cs="Times New Roman"/>
              </w:rPr>
            </w:pPr>
            <w:r>
              <w:rPr>
                <w:rFonts w:cs="Times New Roman"/>
              </w:rPr>
              <w:t>Martha: 9</w:t>
            </w:r>
          </w:p>
          <w:p w14:paraId="789680D4" w14:textId="77777777" w:rsidR="00AF37CE" w:rsidRPr="003E660F" w:rsidRDefault="00AF37CE" w:rsidP="000E0EFB">
            <w:pPr>
              <w:spacing w:line="360" w:lineRule="auto"/>
              <w:jc w:val="both"/>
              <w:rPr>
                <w:rFonts w:cs="Times New Roman"/>
              </w:rPr>
            </w:pPr>
            <w:r>
              <w:rPr>
                <w:rFonts w:cs="Times New Roman"/>
              </w:rPr>
              <w:t>Neil: 15</w:t>
            </w:r>
          </w:p>
        </w:tc>
        <w:tc>
          <w:tcPr>
            <w:tcW w:w="2682" w:type="dxa"/>
          </w:tcPr>
          <w:p w14:paraId="40D92EBD" w14:textId="77777777" w:rsidR="00AF37CE" w:rsidRDefault="00AF37CE" w:rsidP="000E0EFB">
            <w:pPr>
              <w:spacing w:line="360" w:lineRule="auto"/>
              <w:jc w:val="both"/>
              <w:rPr>
                <w:rFonts w:cs="Times New Roman"/>
              </w:rPr>
            </w:pPr>
            <w:r>
              <w:rPr>
                <w:rFonts w:cs="Times New Roman"/>
              </w:rPr>
              <w:t>Martha: 0</w:t>
            </w:r>
          </w:p>
          <w:p w14:paraId="66E2EDE3" w14:textId="77777777" w:rsidR="00AF37CE" w:rsidRPr="003E660F" w:rsidRDefault="00AF37CE" w:rsidP="000E0EFB">
            <w:pPr>
              <w:spacing w:line="360" w:lineRule="auto"/>
              <w:jc w:val="both"/>
              <w:rPr>
                <w:rFonts w:cs="Times New Roman"/>
              </w:rPr>
            </w:pPr>
            <w:r>
              <w:rPr>
                <w:rFonts w:cs="Times New Roman"/>
              </w:rPr>
              <w:t>Neil: 15</w:t>
            </w:r>
          </w:p>
        </w:tc>
        <w:tc>
          <w:tcPr>
            <w:tcW w:w="2232" w:type="dxa"/>
          </w:tcPr>
          <w:p w14:paraId="2ACD0684" w14:textId="77777777" w:rsidR="00AF37CE" w:rsidRDefault="00AF37CE" w:rsidP="000E0EFB">
            <w:pPr>
              <w:spacing w:line="360" w:lineRule="auto"/>
              <w:jc w:val="both"/>
              <w:rPr>
                <w:rFonts w:cs="Times New Roman"/>
              </w:rPr>
            </w:pPr>
            <w:r>
              <w:rPr>
                <w:rFonts w:cs="Times New Roman"/>
              </w:rPr>
              <w:t>Martha: 4.5</w:t>
            </w:r>
          </w:p>
          <w:p w14:paraId="167FC2C2" w14:textId="77777777" w:rsidR="00AF37CE" w:rsidRPr="003E660F" w:rsidRDefault="00AF37CE" w:rsidP="000E0EFB">
            <w:pPr>
              <w:spacing w:line="360" w:lineRule="auto"/>
              <w:jc w:val="both"/>
              <w:rPr>
                <w:rFonts w:cs="Times New Roman"/>
              </w:rPr>
            </w:pPr>
            <w:r>
              <w:rPr>
                <w:rFonts w:cs="Times New Roman"/>
              </w:rPr>
              <w:t>Neil: 15</w:t>
            </w:r>
          </w:p>
        </w:tc>
      </w:tr>
      <w:tr w:rsidR="00AF37CE" w:rsidRPr="003E660F" w14:paraId="277B5814" w14:textId="77777777" w:rsidTr="00FF1446">
        <w:trPr>
          <w:trHeight w:val="56"/>
        </w:trPr>
        <w:tc>
          <w:tcPr>
            <w:tcW w:w="1693" w:type="dxa"/>
          </w:tcPr>
          <w:p w14:paraId="68309948" w14:textId="77777777" w:rsidR="00AF37CE" w:rsidRPr="00D2268E" w:rsidRDefault="00AF37CE" w:rsidP="000E0EFB">
            <w:pPr>
              <w:spacing w:line="360" w:lineRule="auto"/>
              <w:jc w:val="both"/>
              <w:rPr>
                <w:rFonts w:cs="Times New Roman"/>
                <w:i/>
              </w:rPr>
            </w:pPr>
            <w:r>
              <w:rPr>
                <w:rFonts w:cs="Times New Roman"/>
                <w:i/>
              </w:rPr>
              <w:t>Safe</w:t>
            </w:r>
          </w:p>
        </w:tc>
        <w:tc>
          <w:tcPr>
            <w:tcW w:w="2409" w:type="dxa"/>
          </w:tcPr>
          <w:p w14:paraId="2B755F49" w14:textId="77777777" w:rsidR="00AF37CE" w:rsidRDefault="00AF37CE" w:rsidP="000E0EFB">
            <w:pPr>
              <w:spacing w:line="360" w:lineRule="auto"/>
              <w:jc w:val="both"/>
              <w:rPr>
                <w:rFonts w:cs="Times New Roman"/>
              </w:rPr>
            </w:pPr>
            <w:r>
              <w:rPr>
                <w:rFonts w:cs="Times New Roman"/>
              </w:rPr>
              <w:t>Martha: 4</w:t>
            </w:r>
          </w:p>
          <w:p w14:paraId="50D53E39" w14:textId="77777777" w:rsidR="00AF37CE" w:rsidRPr="003E660F" w:rsidRDefault="00AF37CE" w:rsidP="000E0EFB">
            <w:pPr>
              <w:spacing w:line="360" w:lineRule="auto"/>
              <w:jc w:val="both"/>
              <w:rPr>
                <w:rFonts w:cs="Times New Roman"/>
              </w:rPr>
            </w:pPr>
            <w:r>
              <w:rPr>
                <w:rFonts w:cs="Times New Roman"/>
              </w:rPr>
              <w:t>Neil: 15</w:t>
            </w:r>
          </w:p>
        </w:tc>
        <w:tc>
          <w:tcPr>
            <w:tcW w:w="2682" w:type="dxa"/>
          </w:tcPr>
          <w:p w14:paraId="1FC0EE38" w14:textId="77777777" w:rsidR="00AF37CE" w:rsidRDefault="00AF37CE" w:rsidP="000E0EFB">
            <w:pPr>
              <w:spacing w:line="360" w:lineRule="auto"/>
              <w:jc w:val="both"/>
              <w:rPr>
                <w:rFonts w:cs="Times New Roman"/>
              </w:rPr>
            </w:pPr>
            <w:r>
              <w:rPr>
                <w:rFonts w:cs="Times New Roman"/>
              </w:rPr>
              <w:t>Martha: 4</w:t>
            </w:r>
          </w:p>
          <w:p w14:paraId="477FA832" w14:textId="77777777" w:rsidR="00AF37CE" w:rsidRPr="003E660F" w:rsidRDefault="00AF37CE" w:rsidP="000E0EFB">
            <w:pPr>
              <w:spacing w:line="360" w:lineRule="auto"/>
              <w:jc w:val="both"/>
              <w:rPr>
                <w:rFonts w:cs="Times New Roman"/>
              </w:rPr>
            </w:pPr>
            <w:r>
              <w:rPr>
                <w:rFonts w:cs="Times New Roman"/>
              </w:rPr>
              <w:t>Neil: 15</w:t>
            </w:r>
          </w:p>
        </w:tc>
        <w:tc>
          <w:tcPr>
            <w:tcW w:w="2232" w:type="dxa"/>
          </w:tcPr>
          <w:p w14:paraId="07645571" w14:textId="77777777" w:rsidR="00AF37CE" w:rsidRDefault="00AF37CE" w:rsidP="000E0EFB">
            <w:pPr>
              <w:spacing w:line="360" w:lineRule="auto"/>
              <w:jc w:val="both"/>
              <w:rPr>
                <w:rFonts w:cs="Times New Roman"/>
              </w:rPr>
            </w:pPr>
            <w:r>
              <w:rPr>
                <w:rFonts w:cs="Times New Roman"/>
              </w:rPr>
              <w:t>Martha: 4</w:t>
            </w:r>
          </w:p>
          <w:p w14:paraId="2F2E8A45" w14:textId="77777777" w:rsidR="00AF37CE" w:rsidRPr="003E660F" w:rsidRDefault="00AF37CE" w:rsidP="000E0EFB">
            <w:pPr>
              <w:spacing w:line="360" w:lineRule="auto"/>
              <w:jc w:val="both"/>
              <w:rPr>
                <w:rFonts w:cs="Times New Roman"/>
              </w:rPr>
            </w:pPr>
            <w:r>
              <w:rPr>
                <w:rFonts w:cs="Times New Roman"/>
              </w:rPr>
              <w:t>Neil: 15</w:t>
            </w:r>
          </w:p>
        </w:tc>
      </w:tr>
    </w:tbl>
    <w:p w14:paraId="41EEB708" w14:textId="4560AA05" w:rsidR="00AF37CE" w:rsidRPr="00AB3A1B" w:rsidRDefault="00AB3A1B" w:rsidP="00AF37CE">
      <w:pPr>
        <w:jc w:val="both"/>
        <w:rPr>
          <w:rFonts w:cs="Times New Roman"/>
          <w:i/>
          <w:iCs/>
        </w:rPr>
      </w:pPr>
      <w:r>
        <w:rPr>
          <w:rFonts w:cs="Times New Roman"/>
          <w:i/>
          <w:iCs/>
        </w:rPr>
        <w:t>Table 7</w:t>
      </w:r>
    </w:p>
    <w:p w14:paraId="0D24B820" w14:textId="1FE82E5D" w:rsidR="00AF37CE" w:rsidRDefault="00AF37CE" w:rsidP="00AF37CE">
      <w:pPr>
        <w:jc w:val="both"/>
        <w:rPr>
          <w:rFonts w:cs="Times New Roman"/>
          <w:iCs/>
        </w:rPr>
      </w:pPr>
      <w:r>
        <w:rPr>
          <w:rFonts w:cs="Times New Roman"/>
          <w:iCs/>
        </w:rPr>
        <w:t xml:space="preserve">This case seems to meet the definition of a heartland case. Neil is unaffected by the choice between </w:t>
      </w:r>
      <w:r>
        <w:rPr>
          <w:rFonts w:cs="Times New Roman"/>
          <w:i/>
        </w:rPr>
        <w:t>Risk</w:t>
      </w:r>
      <w:r>
        <w:rPr>
          <w:rFonts w:cs="Times New Roman"/>
          <w:iCs/>
        </w:rPr>
        <w:t xml:space="preserve"> and </w:t>
      </w:r>
      <w:r>
        <w:rPr>
          <w:rFonts w:cs="Times New Roman"/>
          <w:i/>
        </w:rPr>
        <w:t>Safe</w:t>
      </w:r>
      <w:r w:rsidR="00FF1446">
        <w:rPr>
          <w:rFonts w:cs="Times New Roman"/>
          <w:iCs/>
        </w:rPr>
        <w:t>, a</w:t>
      </w:r>
      <w:r>
        <w:rPr>
          <w:rFonts w:cs="Times New Roman"/>
          <w:iCs/>
        </w:rPr>
        <w:t xml:space="preserve">nd all other people are identically situated, because the only other person is Martha. </w:t>
      </w:r>
      <w:r w:rsidR="00370142">
        <w:rPr>
          <w:rFonts w:cs="Times New Roman"/>
          <w:iCs/>
        </w:rPr>
        <w:t>And i</w:t>
      </w:r>
      <w:r w:rsidR="00FF1446">
        <w:rPr>
          <w:rFonts w:cs="Times New Roman"/>
          <w:iCs/>
        </w:rPr>
        <w:t xml:space="preserve">t would appear that </w:t>
      </w:r>
      <w:r w:rsidR="00FF1446" w:rsidRPr="00FF1446">
        <w:rPr>
          <w:rFonts w:cs="Times New Roman"/>
          <w:i/>
        </w:rPr>
        <w:t>Risk</w:t>
      </w:r>
      <w:r w:rsidR="00FF1446">
        <w:rPr>
          <w:rFonts w:cs="Times New Roman"/>
          <w:iCs/>
        </w:rPr>
        <w:t xml:space="preserve"> is </w:t>
      </w:r>
      <w:r w:rsidR="00FF1446">
        <w:rPr>
          <w:rFonts w:cs="Times New Roman"/>
          <w:i/>
        </w:rPr>
        <w:t>ex ante</w:t>
      </w:r>
      <w:r w:rsidR="00FF1446">
        <w:rPr>
          <w:rFonts w:cs="Times New Roman"/>
          <w:iCs/>
        </w:rPr>
        <w:t xml:space="preserve"> Pareto superior to </w:t>
      </w:r>
      <w:r w:rsidR="00FF1446">
        <w:rPr>
          <w:rFonts w:cs="Times New Roman"/>
          <w:i/>
        </w:rPr>
        <w:t>Safe</w:t>
      </w:r>
      <w:r w:rsidR="00FF1446">
        <w:rPr>
          <w:rFonts w:cs="Times New Roman"/>
          <w:iCs/>
        </w:rPr>
        <w:t xml:space="preserve">, </w:t>
      </w:r>
      <w:r w:rsidR="007639BB">
        <w:rPr>
          <w:rFonts w:cs="Times New Roman"/>
          <w:iCs/>
        </w:rPr>
        <w:t>because both</w:t>
      </w:r>
      <w:r>
        <w:rPr>
          <w:rFonts w:cs="Times New Roman"/>
          <w:iCs/>
        </w:rPr>
        <w:t xml:space="preserve"> Martha and Neil have prospects which are at least as good under </w:t>
      </w:r>
      <w:r>
        <w:rPr>
          <w:rFonts w:cs="Times New Roman"/>
          <w:i/>
        </w:rPr>
        <w:t xml:space="preserve">Risk </w:t>
      </w:r>
      <w:r>
        <w:rPr>
          <w:rFonts w:cs="Times New Roman"/>
          <w:iCs/>
        </w:rPr>
        <w:t xml:space="preserve">as under </w:t>
      </w:r>
      <w:r>
        <w:rPr>
          <w:rFonts w:cs="Times New Roman"/>
          <w:i/>
        </w:rPr>
        <w:t>Safe</w:t>
      </w:r>
      <w:r>
        <w:rPr>
          <w:rFonts w:cs="Times New Roman"/>
          <w:iCs/>
        </w:rPr>
        <w:t>, and Martha’s prospects are better</w:t>
      </w:r>
      <w:r w:rsidR="00FF1446">
        <w:rPr>
          <w:rFonts w:cs="Times New Roman"/>
          <w:iCs/>
        </w:rPr>
        <w:t>.</w:t>
      </w:r>
      <w:r>
        <w:rPr>
          <w:rFonts w:cs="Times New Roman"/>
          <w:iCs/>
        </w:rPr>
        <w:t xml:space="preserve"> However as we have seen, in a case like this with more than one person and some uncertainty there will be rival sets of designators, and so far we have considered only the set {‘Martha’, ‘Neil’}. Let us then consider another set, by coining the predicates H and </w:t>
      </w:r>
      <w:r w:rsidRPr="008D601A">
        <w:rPr>
          <w:rFonts w:cs="Times New Roman"/>
          <w:iCs/>
        </w:rPr>
        <w:t>H*</w:t>
      </w:r>
      <w:r>
        <w:rPr>
          <w:rFonts w:cs="Times New Roman"/>
          <w:iCs/>
        </w:rPr>
        <w:t xml:space="preserve">. To be H is to be Martha if state </w:t>
      </w:r>
      <w:r w:rsidR="0011599D">
        <w:t>S</w:t>
      </w:r>
      <w:r>
        <w:rPr>
          <w:rFonts w:cs="Times New Roman"/>
          <w:iCs/>
          <w:vertAlign w:val="subscript"/>
        </w:rPr>
        <w:t>1</w:t>
      </w:r>
      <w:r>
        <w:rPr>
          <w:rFonts w:cs="Times New Roman"/>
          <w:iCs/>
        </w:rPr>
        <w:t xml:space="preserve"> obtains, and Neil if state </w:t>
      </w:r>
      <w:r w:rsidR="00FF1446">
        <w:rPr>
          <w:rFonts w:cs="Times New Roman"/>
          <w:iCs/>
        </w:rPr>
        <w:t>S</w:t>
      </w:r>
      <w:r>
        <w:rPr>
          <w:rFonts w:cs="Times New Roman"/>
          <w:iCs/>
          <w:vertAlign w:val="subscript"/>
        </w:rPr>
        <w:t>2</w:t>
      </w:r>
      <w:r>
        <w:rPr>
          <w:rFonts w:cs="Times New Roman"/>
          <w:iCs/>
        </w:rPr>
        <w:t xml:space="preserve"> obtains, and to be </w:t>
      </w:r>
      <w:r w:rsidRPr="008D601A">
        <w:rPr>
          <w:rFonts w:cs="Times New Roman"/>
          <w:iCs/>
        </w:rPr>
        <w:t>H*</w:t>
      </w:r>
      <w:r>
        <w:rPr>
          <w:rFonts w:cs="Times New Roman"/>
          <w:iCs/>
        </w:rPr>
        <w:t xml:space="preserve"> is to be Neil if state </w:t>
      </w:r>
      <w:r w:rsidR="0011599D">
        <w:t>S</w:t>
      </w:r>
      <w:r>
        <w:rPr>
          <w:rFonts w:cs="Times New Roman"/>
          <w:iCs/>
          <w:vertAlign w:val="subscript"/>
        </w:rPr>
        <w:t>1</w:t>
      </w:r>
      <w:r>
        <w:rPr>
          <w:rFonts w:cs="Times New Roman"/>
          <w:iCs/>
        </w:rPr>
        <w:t xml:space="preserve"> obtains, and Martha if state </w:t>
      </w:r>
      <w:r w:rsidR="00FF1446">
        <w:rPr>
          <w:rFonts w:cs="Times New Roman"/>
          <w:iCs/>
        </w:rPr>
        <w:t>S</w:t>
      </w:r>
      <w:r>
        <w:rPr>
          <w:rFonts w:cs="Times New Roman"/>
          <w:iCs/>
          <w:vertAlign w:val="subscript"/>
        </w:rPr>
        <w:t>2</w:t>
      </w:r>
      <w:r>
        <w:rPr>
          <w:rFonts w:cs="Times New Roman"/>
          <w:iCs/>
        </w:rPr>
        <w:t xml:space="preserve"> obtains. The table below gives the welfare at each state and prospects for the H and </w:t>
      </w:r>
      <w:r w:rsidRPr="008D601A">
        <w:rPr>
          <w:rFonts w:cs="Times New Roman"/>
          <w:iCs/>
        </w:rPr>
        <w:t>H*</w:t>
      </w:r>
      <w:r>
        <w:rPr>
          <w:rFonts w:cs="Times New Roman"/>
          <w:iCs/>
        </w:rPr>
        <w:t xml:space="preserve">. </w:t>
      </w:r>
    </w:p>
    <w:tbl>
      <w:tblPr>
        <w:tblStyle w:val="TableGrid"/>
        <w:tblW w:w="0" w:type="auto"/>
        <w:tblLook w:val="04A0" w:firstRow="1" w:lastRow="0" w:firstColumn="1" w:lastColumn="0" w:noHBand="0" w:noVBand="1"/>
      </w:tblPr>
      <w:tblGrid>
        <w:gridCol w:w="1693"/>
        <w:gridCol w:w="2409"/>
        <w:gridCol w:w="2682"/>
        <w:gridCol w:w="2232"/>
      </w:tblGrid>
      <w:tr w:rsidR="00AF37CE" w:rsidRPr="003E660F" w14:paraId="52E06FC0" w14:textId="77777777" w:rsidTr="00BC61D6">
        <w:trPr>
          <w:trHeight w:val="452"/>
        </w:trPr>
        <w:tc>
          <w:tcPr>
            <w:tcW w:w="1693" w:type="dxa"/>
          </w:tcPr>
          <w:p w14:paraId="54B862A4" w14:textId="77777777" w:rsidR="00AF37CE" w:rsidRPr="003E660F" w:rsidRDefault="00AF37CE" w:rsidP="000E0EFB">
            <w:pPr>
              <w:spacing w:line="360" w:lineRule="auto"/>
              <w:jc w:val="both"/>
              <w:rPr>
                <w:rFonts w:cs="Times New Roman"/>
              </w:rPr>
            </w:pPr>
          </w:p>
        </w:tc>
        <w:tc>
          <w:tcPr>
            <w:tcW w:w="2409" w:type="dxa"/>
          </w:tcPr>
          <w:p w14:paraId="40ACFE34" w14:textId="77777777" w:rsidR="00AF37CE" w:rsidRPr="003E660F" w:rsidRDefault="00AF37CE" w:rsidP="000E0EFB">
            <w:pPr>
              <w:spacing w:line="360" w:lineRule="auto"/>
              <w:jc w:val="both"/>
              <w:rPr>
                <w:rFonts w:cs="Times New Roman"/>
              </w:rPr>
            </w:pPr>
            <w:r w:rsidRPr="003E660F">
              <w:rPr>
                <w:rFonts w:cs="Times New Roman"/>
              </w:rPr>
              <w:t>State S</w:t>
            </w:r>
            <w:r w:rsidRPr="003E660F">
              <w:rPr>
                <w:rFonts w:cs="Times New Roman"/>
                <w:vertAlign w:val="subscript"/>
              </w:rPr>
              <w:t>1</w:t>
            </w:r>
          </w:p>
        </w:tc>
        <w:tc>
          <w:tcPr>
            <w:tcW w:w="2682" w:type="dxa"/>
          </w:tcPr>
          <w:p w14:paraId="47A0D573" w14:textId="77777777" w:rsidR="00AF37CE" w:rsidRPr="003E660F" w:rsidRDefault="00AF37CE" w:rsidP="000E0EFB">
            <w:pPr>
              <w:spacing w:line="360" w:lineRule="auto"/>
              <w:jc w:val="both"/>
              <w:rPr>
                <w:rFonts w:cs="Times New Roman"/>
              </w:rPr>
            </w:pPr>
            <w:r w:rsidRPr="003E660F">
              <w:rPr>
                <w:rFonts w:cs="Times New Roman"/>
              </w:rPr>
              <w:t>State S</w:t>
            </w:r>
            <w:r w:rsidRPr="003E660F">
              <w:rPr>
                <w:rFonts w:cs="Times New Roman"/>
              </w:rPr>
              <w:softHyphen/>
            </w:r>
            <w:r w:rsidRPr="003E660F">
              <w:rPr>
                <w:rFonts w:cs="Times New Roman"/>
                <w:vertAlign w:val="subscript"/>
              </w:rPr>
              <w:t>2</w:t>
            </w:r>
          </w:p>
        </w:tc>
        <w:tc>
          <w:tcPr>
            <w:tcW w:w="2232" w:type="dxa"/>
          </w:tcPr>
          <w:p w14:paraId="00297E57" w14:textId="77777777" w:rsidR="00AF37CE" w:rsidRPr="003E660F" w:rsidRDefault="00AF37CE" w:rsidP="000E0EFB">
            <w:pPr>
              <w:spacing w:line="360" w:lineRule="auto"/>
              <w:jc w:val="both"/>
              <w:rPr>
                <w:rFonts w:cs="Times New Roman"/>
                <w:i/>
              </w:rPr>
            </w:pPr>
            <w:r w:rsidRPr="003E660F">
              <w:rPr>
                <w:rFonts w:cs="Times New Roman"/>
                <w:i/>
              </w:rPr>
              <w:t>Prospect</w:t>
            </w:r>
            <w:r>
              <w:rPr>
                <w:rFonts w:cs="Times New Roman"/>
                <w:i/>
              </w:rPr>
              <w:t>s</w:t>
            </w:r>
          </w:p>
        </w:tc>
      </w:tr>
      <w:tr w:rsidR="00AF37CE" w:rsidRPr="003E660F" w14:paraId="66EB7483" w14:textId="77777777" w:rsidTr="00BC61D6">
        <w:tc>
          <w:tcPr>
            <w:tcW w:w="1693" w:type="dxa"/>
          </w:tcPr>
          <w:p w14:paraId="072BEFAC" w14:textId="77777777" w:rsidR="00AF37CE" w:rsidRPr="003E660F" w:rsidRDefault="00AF37CE" w:rsidP="000E0EFB">
            <w:pPr>
              <w:spacing w:line="360" w:lineRule="auto"/>
              <w:jc w:val="both"/>
              <w:rPr>
                <w:rFonts w:cs="Times New Roman"/>
                <w:i/>
              </w:rPr>
            </w:pPr>
          </w:p>
        </w:tc>
        <w:tc>
          <w:tcPr>
            <w:tcW w:w="2409" w:type="dxa"/>
          </w:tcPr>
          <w:p w14:paraId="3B964FF5" w14:textId="77777777" w:rsidR="00AF37CE" w:rsidRPr="003E660F" w:rsidRDefault="00AF37CE" w:rsidP="000E0EFB">
            <w:pPr>
              <w:spacing w:line="360" w:lineRule="auto"/>
              <w:jc w:val="both"/>
              <w:rPr>
                <w:rFonts w:cs="Times New Roman"/>
              </w:rPr>
            </w:pPr>
            <w:r w:rsidRPr="003E660F">
              <w:rPr>
                <w:rFonts w:cs="Times New Roman"/>
              </w:rPr>
              <w:t>P(S</w:t>
            </w:r>
            <w:r w:rsidRPr="003E660F">
              <w:rPr>
                <w:rFonts w:cs="Times New Roman"/>
                <w:vertAlign w:val="subscript"/>
              </w:rPr>
              <w:t>1</w:t>
            </w:r>
            <w:r w:rsidRPr="003E660F">
              <w:rPr>
                <w:rFonts w:cs="Times New Roman"/>
              </w:rPr>
              <w:t>) = 0.5</w:t>
            </w:r>
          </w:p>
        </w:tc>
        <w:tc>
          <w:tcPr>
            <w:tcW w:w="2682" w:type="dxa"/>
          </w:tcPr>
          <w:p w14:paraId="108645DF" w14:textId="77777777" w:rsidR="00AF37CE" w:rsidRPr="003E660F" w:rsidRDefault="00AF37CE" w:rsidP="000E0EFB">
            <w:pPr>
              <w:spacing w:line="360" w:lineRule="auto"/>
              <w:jc w:val="both"/>
              <w:rPr>
                <w:rFonts w:cs="Times New Roman"/>
              </w:rPr>
            </w:pPr>
            <w:r w:rsidRPr="003E660F">
              <w:rPr>
                <w:rFonts w:cs="Times New Roman"/>
              </w:rPr>
              <w:t>P(S</w:t>
            </w:r>
            <w:r w:rsidRPr="003E660F">
              <w:rPr>
                <w:rFonts w:cs="Times New Roman"/>
                <w:vertAlign w:val="subscript"/>
              </w:rPr>
              <w:t>2</w:t>
            </w:r>
            <w:r w:rsidRPr="003E660F">
              <w:rPr>
                <w:rFonts w:cs="Times New Roman"/>
              </w:rPr>
              <w:t>) = 0.5</w:t>
            </w:r>
          </w:p>
        </w:tc>
        <w:tc>
          <w:tcPr>
            <w:tcW w:w="2232" w:type="dxa"/>
          </w:tcPr>
          <w:p w14:paraId="0A3323A7" w14:textId="77777777" w:rsidR="00AF37CE" w:rsidRPr="003E660F" w:rsidRDefault="00AF37CE" w:rsidP="000E0EFB">
            <w:pPr>
              <w:spacing w:line="360" w:lineRule="auto"/>
              <w:jc w:val="both"/>
              <w:rPr>
                <w:rFonts w:cs="Times New Roman"/>
              </w:rPr>
            </w:pPr>
          </w:p>
        </w:tc>
      </w:tr>
      <w:tr w:rsidR="00AF37CE" w:rsidRPr="003E660F" w14:paraId="0035C6A7" w14:textId="77777777" w:rsidTr="00BC61D6">
        <w:tc>
          <w:tcPr>
            <w:tcW w:w="1693" w:type="dxa"/>
          </w:tcPr>
          <w:p w14:paraId="71E1C44A" w14:textId="77777777" w:rsidR="00AF37CE" w:rsidRPr="00D2268E" w:rsidRDefault="00AF37CE" w:rsidP="000E0EFB">
            <w:pPr>
              <w:spacing w:line="360" w:lineRule="auto"/>
              <w:jc w:val="both"/>
              <w:rPr>
                <w:rFonts w:cs="Times New Roman"/>
                <w:i/>
              </w:rPr>
            </w:pPr>
            <w:r>
              <w:rPr>
                <w:rFonts w:cs="Times New Roman"/>
                <w:i/>
              </w:rPr>
              <w:t>Risk</w:t>
            </w:r>
          </w:p>
        </w:tc>
        <w:tc>
          <w:tcPr>
            <w:tcW w:w="2409" w:type="dxa"/>
          </w:tcPr>
          <w:p w14:paraId="7D345100" w14:textId="77777777" w:rsidR="00AF37CE" w:rsidRDefault="00AF37CE" w:rsidP="000E0EFB">
            <w:pPr>
              <w:spacing w:line="360" w:lineRule="auto"/>
              <w:jc w:val="both"/>
              <w:rPr>
                <w:rFonts w:cs="Times New Roman"/>
              </w:rPr>
            </w:pPr>
            <w:r>
              <w:rPr>
                <w:rFonts w:cs="Times New Roman"/>
              </w:rPr>
              <w:t>The H: 9</w:t>
            </w:r>
          </w:p>
          <w:p w14:paraId="5B147299" w14:textId="77777777" w:rsidR="00AF37CE" w:rsidRPr="003E660F" w:rsidRDefault="00AF37CE" w:rsidP="000E0EFB">
            <w:pPr>
              <w:spacing w:line="360" w:lineRule="auto"/>
              <w:jc w:val="both"/>
              <w:rPr>
                <w:rFonts w:cs="Times New Roman"/>
              </w:rPr>
            </w:pPr>
            <w:r>
              <w:rPr>
                <w:rFonts w:cs="Times New Roman"/>
              </w:rPr>
              <w:t xml:space="preserve">The </w:t>
            </w:r>
            <w:r w:rsidRPr="008D601A">
              <w:rPr>
                <w:rFonts w:cs="Times New Roman"/>
              </w:rPr>
              <w:t>H*</w:t>
            </w:r>
            <w:r>
              <w:rPr>
                <w:rFonts w:cs="Times New Roman"/>
              </w:rPr>
              <w:t>: 15</w:t>
            </w:r>
          </w:p>
        </w:tc>
        <w:tc>
          <w:tcPr>
            <w:tcW w:w="2682" w:type="dxa"/>
          </w:tcPr>
          <w:p w14:paraId="3A7D2C54" w14:textId="77777777" w:rsidR="00AF37CE" w:rsidRDefault="00AF37CE" w:rsidP="000E0EFB">
            <w:pPr>
              <w:spacing w:line="360" w:lineRule="auto"/>
              <w:jc w:val="both"/>
              <w:rPr>
                <w:rFonts w:cs="Times New Roman"/>
              </w:rPr>
            </w:pPr>
            <w:r>
              <w:rPr>
                <w:rFonts w:cs="Times New Roman"/>
              </w:rPr>
              <w:t>The H: 15</w:t>
            </w:r>
          </w:p>
          <w:p w14:paraId="6F1A56B3" w14:textId="77777777" w:rsidR="00AF37CE" w:rsidRPr="003E660F" w:rsidRDefault="00AF37CE" w:rsidP="000E0EFB">
            <w:pPr>
              <w:spacing w:line="360" w:lineRule="auto"/>
              <w:jc w:val="both"/>
              <w:rPr>
                <w:rFonts w:cs="Times New Roman"/>
              </w:rPr>
            </w:pPr>
            <w:r>
              <w:rPr>
                <w:rFonts w:cs="Times New Roman"/>
              </w:rPr>
              <w:t xml:space="preserve">The </w:t>
            </w:r>
            <w:r w:rsidRPr="008D601A">
              <w:rPr>
                <w:rFonts w:cs="Times New Roman"/>
              </w:rPr>
              <w:t>H*</w:t>
            </w:r>
            <w:r>
              <w:rPr>
                <w:rFonts w:cs="Times New Roman"/>
              </w:rPr>
              <w:t>: 0</w:t>
            </w:r>
          </w:p>
        </w:tc>
        <w:tc>
          <w:tcPr>
            <w:tcW w:w="2232" w:type="dxa"/>
          </w:tcPr>
          <w:p w14:paraId="607CF61B" w14:textId="77777777" w:rsidR="00AF37CE" w:rsidRDefault="00AF37CE" w:rsidP="000E0EFB">
            <w:pPr>
              <w:spacing w:line="360" w:lineRule="auto"/>
              <w:jc w:val="both"/>
              <w:rPr>
                <w:rFonts w:cs="Times New Roman"/>
              </w:rPr>
            </w:pPr>
            <w:r>
              <w:rPr>
                <w:rFonts w:cs="Times New Roman"/>
              </w:rPr>
              <w:t xml:space="preserve">The H: 12 </w:t>
            </w:r>
          </w:p>
          <w:p w14:paraId="34FA44FF" w14:textId="77777777" w:rsidR="00AF37CE" w:rsidRPr="003E660F" w:rsidRDefault="00AF37CE" w:rsidP="000E0EFB">
            <w:pPr>
              <w:spacing w:line="360" w:lineRule="auto"/>
              <w:jc w:val="both"/>
              <w:rPr>
                <w:rFonts w:cs="Times New Roman"/>
              </w:rPr>
            </w:pPr>
            <w:r>
              <w:rPr>
                <w:rFonts w:cs="Times New Roman"/>
              </w:rPr>
              <w:t xml:space="preserve">The </w:t>
            </w:r>
            <w:r w:rsidRPr="008D601A">
              <w:rPr>
                <w:rFonts w:cs="Times New Roman"/>
              </w:rPr>
              <w:t>H*</w:t>
            </w:r>
            <w:r>
              <w:rPr>
                <w:rFonts w:cs="Times New Roman"/>
              </w:rPr>
              <w:t>: 7.5</w:t>
            </w:r>
          </w:p>
        </w:tc>
      </w:tr>
      <w:tr w:rsidR="00AF37CE" w:rsidRPr="003E660F" w14:paraId="7F8DC515" w14:textId="77777777" w:rsidTr="00BC61D6">
        <w:tc>
          <w:tcPr>
            <w:tcW w:w="1693" w:type="dxa"/>
          </w:tcPr>
          <w:p w14:paraId="2A12AA3E" w14:textId="77777777" w:rsidR="00AF37CE" w:rsidRPr="00D2268E" w:rsidRDefault="00AF37CE" w:rsidP="000E0EFB">
            <w:pPr>
              <w:spacing w:line="360" w:lineRule="auto"/>
              <w:jc w:val="both"/>
              <w:rPr>
                <w:rFonts w:cs="Times New Roman"/>
                <w:i/>
              </w:rPr>
            </w:pPr>
            <w:r>
              <w:rPr>
                <w:rFonts w:cs="Times New Roman"/>
                <w:i/>
              </w:rPr>
              <w:lastRenderedPageBreak/>
              <w:t>Safe</w:t>
            </w:r>
          </w:p>
        </w:tc>
        <w:tc>
          <w:tcPr>
            <w:tcW w:w="2409" w:type="dxa"/>
          </w:tcPr>
          <w:p w14:paraId="2919E17F" w14:textId="77777777" w:rsidR="00AF37CE" w:rsidRDefault="00AF37CE" w:rsidP="000E0EFB">
            <w:pPr>
              <w:spacing w:line="360" w:lineRule="auto"/>
              <w:jc w:val="both"/>
              <w:rPr>
                <w:rFonts w:cs="Times New Roman"/>
              </w:rPr>
            </w:pPr>
            <w:r>
              <w:rPr>
                <w:rFonts w:cs="Times New Roman"/>
              </w:rPr>
              <w:t>The H: 4</w:t>
            </w:r>
          </w:p>
          <w:p w14:paraId="60EC863F" w14:textId="77777777" w:rsidR="00AF37CE" w:rsidRPr="003E660F" w:rsidRDefault="00AF37CE" w:rsidP="000E0EFB">
            <w:pPr>
              <w:spacing w:line="360" w:lineRule="auto"/>
              <w:jc w:val="both"/>
              <w:rPr>
                <w:rFonts w:cs="Times New Roman"/>
              </w:rPr>
            </w:pPr>
            <w:r>
              <w:rPr>
                <w:rFonts w:cs="Times New Roman"/>
              </w:rPr>
              <w:t xml:space="preserve">The </w:t>
            </w:r>
            <w:r w:rsidRPr="008D601A">
              <w:rPr>
                <w:rFonts w:cs="Times New Roman"/>
              </w:rPr>
              <w:t>H*</w:t>
            </w:r>
            <w:r>
              <w:rPr>
                <w:rFonts w:cs="Times New Roman"/>
              </w:rPr>
              <w:t>: 15</w:t>
            </w:r>
          </w:p>
        </w:tc>
        <w:tc>
          <w:tcPr>
            <w:tcW w:w="2682" w:type="dxa"/>
          </w:tcPr>
          <w:p w14:paraId="6CE7192B" w14:textId="77777777" w:rsidR="00AF37CE" w:rsidRDefault="00AF37CE" w:rsidP="000E0EFB">
            <w:pPr>
              <w:spacing w:line="360" w:lineRule="auto"/>
              <w:jc w:val="both"/>
              <w:rPr>
                <w:rFonts w:cs="Times New Roman"/>
              </w:rPr>
            </w:pPr>
            <w:r>
              <w:rPr>
                <w:rFonts w:cs="Times New Roman"/>
              </w:rPr>
              <w:t>The H: 15</w:t>
            </w:r>
          </w:p>
          <w:p w14:paraId="78BD713E" w14:textId="77777777" w:rsidR="00AF37CE" w:rsidRPr="003E660F" w:rsidRDefault="00AF37CE" w:rsidP="000E0EFB">
            <w:pPr>
              <w:spacing w:line="360" w:lineRule="auto"/>
              <w:jc w:val="both"/>
              <w:rPr>
                <w:rFonts w:cs="Times New Roman"/>
              </w:rPr>
            </w:pPr>
            <w:r>
              <w:rPr>
                <w:rFonts w:cs="Times New Roman"/>
              </w:rPr>
              <w:t xml:space="preserve">The </w:t>
            </w:r>
            <w:r w:rsidRPr="008D601A">
              <w:rPr>
                <w:rFonts w:cs="Times New Roman"/>
              </w:rPr>
              <w:t>H*</w:t>
            </w:r>
            <w:r>
              <w:rPr>
                <w:rFonts w:cs="Times New Roman"/>
              </w:rPr>
              <w:t>: 4</w:t>
            </w:r>
          </w:p>
        </w:tc>
        <w:tc>
          <w:tcPr>
            <w:tcW w:w="2232" w:type="dxa"/>
          </w:tcPr>
          <w:p w14:paraId="16AE43A6" w14:textId="77777777" w:rsidR="00AF37CE" w:rsidRDefault="00AF37CE" w:rsidP="000E0EFB">
            <w:pPr>
              <w:spacing w:line="360" w:lineRule="auto"/>
              <w:jc w:val="both"/>
              <w:rPr>
                <w:rFonts w:cs="Times New Roman"/>
              </w:rPr>
            </w:pPr>
            <w:r>
              <w:rPr>
                <w:rFonts w:cs="Times New Roman"/>
              </w:rPr>
              <w:t>The H: 9.5</w:t>
            </w:r>
          </w:p>
          <w:p w14:paraId="3665EEFA" w14:textId="77777777" w:rsidR="00AF37CE" w:rsidRPr="003E660F" w:rsidRDefault="00AF37CE" w:rsidP="000E0EFB">
            <w:pPr>
              <w:spacing w:line="360" w:lineRule="auto"/>
              <w:jc w:val="both"/>
              <w:rPr>
                <w:rFonts w:cs="Times New Roman"/>
              </w:rPr>
            </w:pPr>
            <w:r>
              <w:rPr>
                <w:rFonts w:cs="Times New Roman"/>
              </w:rPr>
              <w:t xml:space="preserve">The </w:t>
            </w:r>
            <w:r w:rsidRPr="008D601A">
              <w:rPr>
                <w:rFonts w:cs="Times New Roman"/>
              </w:rPr>
              <w:t>H*</w:t>
            </w:r>
            <w:r>
              <w:rPr>
                <w:rFonts w:cs="Times New Roman"/>
              </w:rPr>
              <w:t>: 9.5</w:t>
            </w:r>
          </w:p>
        </w:tc>
      </w:tr>
    </w:tbl>
    <w:p w14:paraId="7CCEB5C7" w14:textId="1872A647" w:rsidR="00AF37CE" w:rsidRPr="00AB3A1B" w:rsidRDefault="00AB3A1B" w:rsidP="00AF37CE">
      <w:pPr>
        <w:jc w:val="both"/>
        <w:rPr>
          <w:rFonts w:cs="Times New Roman"/>
          <w:i/>
          <w:iCs/>
        </w:rPr>
      </w:pPr>
      <w:r>
        <w:rPr>
          <w:rFonts w:cs="Times New Roman"/>
          <w:i/>
          <w:iCs/>
        </w:rPr>
        <w:t>Table 8</w:t>
      </w:r>
    </w:p>
    <w:p w14:paraId="21209CF0" w14:textId="7BC120E5" w:rsidR="00AF37CE" w:rsidRDefault="00AF37CE" w:rsidP="00AF37CE">
      <w:pPr>
        <w:jc w:val="both"/>
        <w:rPr>
          <w:rFonts w:cs="Times New Roman"/>
          <w:iCs/>
        </w:rPr>
      </w:pPr>
      <w:r>
        <w:rPr>
          <w:rFonts w:cs="Times New Roman"/>
          <w:iCs/>
        </w:rPr>
        <w:t xml:space="preserve">We can see that the prospects for the </w:t>
      </w:r>
      <w:r w:rsidRPr="008D601A">
        <w:rPr>
          <w:rFonts w:cs="Times New Roman"/>
          <w:iCs/>
        </w:rPr>
        <w:t>H*</w:t>
      </w:r>
      <w:r>
        <w:rPr>
          <w:rFonts w:cs="Times New Roman"/>
          <w:iCs/>
        </w:rPr>
        <w:t xml:space="preserve"> are worse under </w:t>
      </w:r>
      <w:r>
        <w:rPr>
          <w:rFonts w:cs="Times New Roman"/>
          <w:i/>
        </w:rPr>
        <w:t>Risk</w:t>
      </w:r>
      <w:r>
        <w:rPr>
          <w:rFonts w:cs="Times New Roman"/>
          <w:iCs/>
        </w:rPr>
        <w:t xml:space="preserve"> (7.5) than they are under </w:t>
      </w:r>
      <w:r>
        <w:rPr>
          <w:rFonts w:cs="Times New Roman"/>
          <w:i/>
        </w:rPr>
        <w:t>Safe</w:t>
      </w:r>
      <w:r>
        <w:rPr>
          <w:rFonts w:cs="Times New Roman"/>
          <w:iCs/>
        </w:rPr>
        <w:t xml:space="preserve"> (9.5). Given that </w:t>
      </w:r>
      <w:r w:rsidR="00732B41">
        <w:rPr>
          <w:rFonts w:cs="Times New Roman"/>
          <w:iCs/>
        </w:rPr>
        <w:t xml:space="preserve">the </w:t>
      </w:r>
      <w:r w:rsidRPr="008D601A">
        <w:rPr>
          <w:rFonts w:cs="Times New Roman"/>
          <w:iCs/>
        </w:rPr>
        <w:t>H*</w:t>
      </w:r>
      <w:r>
        <w:rPr>
          <w:rFonts w:cs="Times New Roman"/>
          <w:iCs/>
        </w:rPr>
        <w:t xml:space="preserve"> has worse prospects under </w:t>
      </w:r>
      <w:r>
        <w:rPr>
          <w:rFonts w:cs="Times New Roman"/>
          <w:i/>
        </w:rPr>
        <w:t>Risk</w:t>
      </w:r>
      <w:r>
        <w:rPr>
          <w:rFonts w:cs="Times New Roman"/>
          <w:iCs/>
        </w:rPr>
        <w:t xml:space="preserve"> than under </w:t>
      </w:r>
      <w:r>
        <w:rPr>
          <w:rFonts w:cs="Times New Roman"/>
          <w:i/>
        </w:rPr>
        <w:t>Safe</w:t>
      </w:r>
      <w:r>
        <w:rPr>
          <w:rFonts w:cs="Times New Roman"/>
          <w:iCs/>
        </w:rPr>
        <w:t xml:space="preserve">, it follows that </w:t>
      </w:r>
      <w:r>
        <w:rPr>
          <w:rFonts w:cs="Times New Roman"/>
          <w:i/>
        </w:rPr>
        <w:t>Risk</w:t>
      </w:r>
      <w:r>
        <w:rPr>
          <w:rFonts w:cs="Times New Roman"/>
          <w:iCs/>
        </w:rPr>
        <w:t xml:space="preserve"> is not </w:t>
      </w:r>
      <w:r>
        <w:rPr>
          <w:rFonts w:cs="Times New Roman"/>
          <w:i/>
        </w:rPr>
        <w:t>ex ante</w:t>
      </w:r>
      <w:r>
        <w:rPr>
          <w:rFonts w:cs="Times New Roman"/>
          <w:iCs/>
        </w:rPr>
        <w:t xml:space="preserve"> </w:t>
      </w:r>
      <w:r w:rsidR="00AC7632">
        <w:rPr>
          <w:rFonts w:cs="Times New Roman"/>
          <w:iCs/>
        </w:rPr>
        <w:t>Pareto</w:t>
      </w:r>
      <w:r>
        <w:rPr>
          <w:rFonts w:cs="Times New Roman"/>
          <w:iCs/>
        </w:rPr>
        <w:t xml:space="preserve"> superior relative to {‘the H’, ‘the </w:t>
      </w:r>
      <w:r w:rsidRPr="008D601A">
        <w:rPr>
          <w:rFonts w:cs="Times New Roman"/>
          <w:iCs/>
        </w:rPr>
        <w:t>H*</w:t>
      </w:r>
      <w:r>
        <w:rPr>
          <w:rFonts w:cs="Times New Roman"/>
          <w:iCs/>
        </w:rPr>
        <w:t xml:space="preserve">’}, and so it is not </w:t>
      </w:r>
      <w:r>
        <w:rPr>
          <w:rFonts w:cs="Times New Roman"/>
          <w:i/>
        </w:rPr>
        <w:t>ex ante</w:t>
      </w:r>
      <w:r>
        <w:rPr>
          <w:rFonts w:cs="Times New Roman"/>
          <w:iCs/>
        </w:rPr>
        <w:t xml:space="preserve"> </w:t>
      </w:r>
      <w:r w:rsidR="00AC7632">
        <w:rPr>
          <w:rFonts w:cs="Times New Roman"/>
          <w:iCs/>
        </w:rPr>
        <w:t>Pareto</w:t>
      </w:r>
      <w:r>
        <w:rPr>
          <w:rFonts w:cs="Times New Roman"/>
          <w:iCs/>
        </w:rPr>
        <w:t xml:space="preserve"> superior</w:t>
      </w:r>
      <w:r>
        <w:rPr>
          <w:rFonts w:cs="Times New Roman"/>
          <w:iCs/>
          <w:vertAlign w:val="subscript"/>
        </w:rPr>
        <w:t>sup</w:t>
      </w:r>
      <w:r>
        <w:rPr>
          <w:rFonts w:cs="Times New Roman"/>
          <w:iCs/>
        </w:rPr>
        <w:t xml:space="preserve">. Thus this apparent heartland case is not a case of </w:t>
      </w:r>
      <w:r>
        <w:rPr>
          <w:rFonts w:cs="Times New Roman"/>
          <w:i/>
        </w:rPr>
        <w:t>ex ante</w:t>
      </w:r>
      <w:r>
        <w:rPr>
          <w:rFonts w:cs="Times New Roman"/>
          <w:iCs/>
        </w:rPr>
        <w:t xml:space="preserve"> </w:t>
      </w:r>
      <w:r w:rsidR="00AC7632">
        <w:rPr>
          <w:rFonts w:cs="Times New Roman"/>
          <w:iCs/>
        </w:rPr>
        <w:t>Pareto</w:t>
      </w:r>
      <w:r>
        <w:rPr>
          <w:rFonts w:cs="Times New Roman"/>
          <w:iCs/>
        </w:rPr>
        <w:t xml:space="preserve"> superiority</w:t>
      </w:r>
      <w:r>
        <w:rPr>
          <w:rFonts w:cs="Times New Roman"/>
          <w:iCs/>
          <w:vertAlign w:val="subscript"/>
        </w:rPr>
        <w:t>sup</w:t>
      </w:r>
      <w:r>
        <w:rPr>
          <w:rFonts w:cs="Times New Roman"/>
          <w:iCs/>
        </w:rPr>
        <w:t xml:space="preserve">, and so is obviously not a case where the </w:t>
      </w:r>
      <w:r w:rsidR="00FF1446">
        <w:rPr>
          <w:rFonts w:cs="Times New Roman"/>
          <w:i/>
        </w:rPr>
        <w:t>ex ante</w:t>
      </w:r>
      <w:r w:rsidR="00FF1446">
        <w:rPr>
          <w:rFonts w:cs="Times New Roman"/>
          <w:iCs/>
        </w:rPr>
        <w:t xml:space="preserve"> Pareto principle</w:t>
      </w:r>
      <w:r w:rsidR="00FF1446">
        <w:rPr>
          <w:rFonts w:cs="Times New Roman"/>
          <w:iCs/>
          <w:vertAlign w:val="subscript"/>
        </w:rPr>
        <w:t>sup</w:t>
      </w:r>
      <w:r>
        <w:rPr>
          <w:rFonts w:cs="Times New Roman"/>
          <w:iCs/>
        </w:rPr>
        <w:t xml:space="preserve"> is especially compelling. </w:t>
      </w:r>
    </w:p>
    <w:p w14:paraId="3A8CC6DE" w14:textId="210713FA" w:rsidR="0025634E" w:rsidRPr="001C15FB" w:rsidRDefault="00AF37CE" w:rsidP="001C15FB">
      <w:pPr>
        <w:jc w:val="both"/>
      </w:pPr>
      <w:r>
        <w:rPr>
          <w:rFonts w:cs="Times New Roman"/>
          <w:iCs/>
        </w:rPr>
        <w:t xml:space="preserve">In fact, although I skimmed over this at the start of this sub-section, the definition of a heartland case is itself incomplete. A case may be a heartland case relative to </w:t>
      </w:r>
      <w:r w:rsidR="00FF1446">
        <w:rPr>
          <w:rFonts w:cs="Times New Roman"/>
          <w:iCs/>
        </w:rPr>
        <w:t>one admissible</w:t>
      </w:r>
      <w:r>
        <w:rPr>
          <w:rFonts w:cs="Times New Roman"/>
          <w:iCs/>
        </w:rPr>
        <w:t xml:space="preserve"> set of designators, but not relative to another: thus in the example above we had a heartland case relative to the designators {‘Martha’, ‘Neil’}, but not relative to the designators {‘the H’, ‘the </w:t>
      </w:r>
      <w:r w:rsidRPr="008D601A">
        <w:rPr>
          <w:rFonts w:cs="Times New Roman"/>
          <w:iCs/>
        </w:rPr>
        <w:t>H*</w:t>
      </w:r>
      <w:r>
        <w:rPr>
          <w:rFonts w:cs="Times New Roman"/>
          <w:iCs/>
        </w:rPr>
        <w:t xml:space="preserve">’}. We might say then that </w:t>
      </w:r>
      <w:r w:rsidR="007639BB">
        <w:rPr>
          <w:rFonts w:cs="Times New Roman"/>
          <w:iCs/>
        </w:rPr>
        <w:t>a</w:t>
      </w:r>
      <w:r>
        <w:rPr>
          <w:rFonts w:cs="Times New Roman"/>
          <w:iCs/>
        </w:rPr>
        <w:t xml:space="preserve"> heartland case</w:t>
      </w:r>
      <w:r>
        <w:rPr>
          <w:rFonts w:cs="Times New Roman"/>
          <w:iCs/>
          <w:vertAlign w:val="subscript"/>
        </w:rPr>
        <w:t>sup</w:t>
      </w:r>
      <w:r>
        <w:rPr>
          <w:rFonts w:cs="Times New Roman"/>
          <w:iCs/>
        </w:rPr>
        <w:t xml:space="preserve"> </w:t>
      </w:r>
      <w:r w:rsidR="007639BB">
        <w:rPr>
          <w:rFonts w:cs="Times New Roman"/>
          <w:iCs/>
        </w:rPr>
        <w:t>is</w:t>
      </w:r>
      <w:r>
        <w:rPr>
          <w:rFonts w:cs="Times New Roman"/>
          <w:iCs/>
        </w:rPr>
        <w:t xml:space="preserve"> a heartland case relative to all admissible sets of designators. Only a very special subset of cases will</w:t>
      </w:r>
      <w:r w:rsidR="00F9111B">
        <w:rPr>
          <w:rFonts w:cs="Times New Roman"/>
          <w:iCs/>
        </w:rPr>
        <w:t xml:space="preserve"> be heartland cases</w:t>
      </w:r>
      <w:r w:rsidR="00F9111B">
        <w:rPr>
          <w:rFonts w:cs="Times New Roman"/>
          <w:iCs/>
          <w:vertAlign w:val="subscript"/>
        </w:rPr>
        <w:t>sup</w:t>
      </w:r>
      <w:r w:rsidR="002978A6">
        <w:rPr>
          <w:rFonts w:cs="Times New Roman"/>
          <w:iCs/>
        </w:rPr>
        <w:t>.</w:t>
      </w:r>
      <w:r w:rsidR="001C15FB">
        <w:rPr>
          <w:rFonts w:cs="Times New Roman"/>
          <w:iCs/>
        </w:rPr>
        <w:t xml:space="preserve"> Cases where all individuals are identically situated are heartland cases</w:t>
      </w:r>
      <w:r w:rsidR="001C15FB">
        <w:rPr>
          <w:rFonts w:cs="Times New Roman"/>
          <w:iCs/>
          <w:vertAlign w:val="subscript"/>
        </w:rPr>
        <w:t>su</w:t>
      </w:r>
      <w:r w:rsidR="006E07D4">
        <w:rPr>
          <w:rFonts w:cs="Times New Roman"/>
          <w:iCs/>
          <w:vertAlign w:val="subscript"/>
        </w:rPr>
        <w:t>p</w:t>
      </w:r>
      <w:r w:rsidR="006E07D4">
        <w:rPr>
          <w:rFonts w:cs="Times New Roman"/>
          <w:iCs/>
        </w:rPr>
        <w:t>; cases where all individuals are unaffected by the choice of policy are heartland cases</w:t>
      </w:r>
      <w:r w:rsidR="006E07D4">
        <w:rPr>
          <w:rFonts w:cs="Times New Roman"/>
          <w:iCs/>
          <w:vertAlign w:val="subscript"/>
        </w:rPr>
        <w:t>sup</w:t>
      </w:r>
      <w:r w:rsidR="006E07D4">
        <w:rPr>
          <w:rFonts w:cs="Times New Roman"/>
          <w:iCs/>
        </w:rPr>
        <w:t>, and c</w:t>
      </w:r>
      <w:r w:rsidR="002978A6">
        <w:rPr>
          <w:rFonts w:cs="Times New Roman"/>
          <w:iCs/>
        </w:rPr>
        <w:t xml:space="preserve">ases where all individuals are either identically situated or unaffected by the choice of policy, and the </w:t>
      </w:r>
      <w:r w:rsidR="00AA65E8">
        <w:rPr>
          <w:rFonts w:cs="Times New Roman"/>
          <w:iCs/>
        </w:rPr>
        <w:t>decision-maker</w:t>
      </w:r>
      <w:r w:rsidR="002978A6">
        <w:rPr>
          <w:rFonts w:cs="Times New Roman"/>
          <w:iCs/>
        </w:rPr>
        <w:t xml:space="preserve"> has no uncertainty whatsoever</w:t>
      </w:r>
      <w:r w:rsidR="006E07D4">
        <w:rPr>
          <w:rFonts w:cs="Times New Roman"/>
          <w:iCs/>
        </w:rPr>
        <w:t xml:space="preserve"> are also heartland cases</w:t>
      </w:r>
      <w:r w:rsidR="006E07D4">
        <w:rPr>
          <w:rFonts w:cs="Times New Roman"/>
          <w:iCs/>
          <w:vertAlign w:val="subscript"/>
        </w:rPr>
        <w:t>sup</w:t>
      </w:r>
      <w:r w:rsidR="006E07D4">
        <w:rPr>
          <w:rFonts w:cs="Times New Roman"/>
          <w:iCs/>
        </w:rPr>
        <w:t>.</w:t>
      </w:r>
      <w:r w:rsidR="006453AA">
        <w:rPr>
          <w:rFonts w:cs="Times New Roman"/>
          <w:iCs/>
        </w:rPr>
        <w:t xml:space="preserve"> There </w:t>
      </w:r>
      <w:r w:rsidR="00F9111B">
        <w:rPr>
          <w:rFonts w:cs="Times New Roman"/>
          <w:iCs/>
        </w:rPr>
        <w:t xml:space="preserve">is a small category of </w:t>
      </w:r>
      <w:r w:rsidR="006453AA">
        <w:rPr>
          <w:rFonts w:cs="Times New Roman"/>
          <w:iCs/>
        </w:rPr>
        <w:t>more interesting cases which also qualify as heartland cases</w:t>
      </w:r>
      <w:r w:rsidR="006453AA">
        <w:rPr>
          <w:rFonts w:cs="Times New Roman"/>
          <w:iCs/>
          <w:vertAlign w:val="subscript"/>
        </w:rPr>
        <w:t>sup</w:t>
      </w:r>
      <w:r w:rsidR="006453AA">
        <w:rPr>
          <w:rFonts w:cs="Times New Roman"/>
          <w:iCs/>
        </w:rPr>
        <w:t xml:space="preserve">, but in these cases the decision maker’s </w:t>
      </w:r>
      <w:r w:rsidR="006453AA">
        <w:t>uncertainty is very tightly – and entirely unrealistically – restricted.</w:t>
      </w:r>
      <w:r w:rsidR="006453AA">
        <w:rPr>
          <w:rStyle w:val="FootnoteReference"/>
        </w:rPr>
        <w:footnoteReference w:id="14"/>
      </w:r>
      <w:r w:rsidR="006453AA">
        <w:t xml:space="preserve"> </w:t>
      </w:r>
      <w:r w:rsidR="004600AE">
        <w:t xml:space="preserve">Thus we have the following result: </w:t>
      </w:r>
    </w:p>
    <w:p w14:paraId="3B462BE4" w14:textId="54101ECE" w:rsidR="00AF37CE" w:rsidRDefault="0025634E" w:rsidP="0025634E">
      <w:pPr>
        <w:pStyle w:val="ListParagraph"/>
        <w:numPr>
          <w:ilvl w:val="0"/>
          <w:numId w:val="26"/>
        </w:numPr>
        <w:jc w:val="both"/>
        <w:rPr>
          <w:rFonts w:cs="Times New Roman"/>
          <w:iCs/>
        </w:rPr>
      </w:pPr>
      <w:r>
        <w:rPr>
          <w:rFonts w:cs="Times New Roman"/>
          <w:iCs/>
        </w:rPr>
        <w:lastRenderedPageBreak/>
        <w:t>T</w:t>
      </w:r>
      <w:r w:rsidR="00D95E1A" w:rsidRPr="0025634E">
        <w:rPr>
          <w:rFonts w:cs="Times New Roman"/>
          <w:iCs/>
        </w:rPr>
        <w:t xml:space="preserve">he only </w:t>
      </w:r>
      <w:r w:rsidR="00AF37CE" w:rsidRPr="0025634E">
        <w:rPr>
          <w:rFonts w:cs="Times New Roman"/>
          <w:iCs/>
        </w:rPr>
        <w:t>heartland cases</w:t>
      </w:r>
      <w:r w:rsidR="00AF37CE" w:rsidRPr="0025634E">
        <w:rPr>
          <w:rFonts w:cs="Times New Roman"/>
          <w:iCs/>
          <w:vertAlign w:val="subscript"/>
        </w:rPr>
        <w:t>sup</w:t>
      </w:r>
      <w:r w:rsidR="00AF37CE" w:rsidRPr="0025634E">
        <w:rPr>
          <w:rFonts w:cs="Times New Roman"/>
          <w:iCs/>
        </w:rPr>
        <w:t xml:space="preserve"> </w:t>
      </w:r>
      <w:r w:rsidR="00D95E1A" w:rsidRPr="0025634E">
        <w:rPr>
          <w:rFonts w:cs="Times New Roman"/>
          <w:iCs/>
        </w:rPr>
        <w:t>that will</w:t>
      </w:r>
      <w:r w:rsidR="00AF37CE" w:rsidRPr="0025634E">
        <w:rPr>
          <w:rFonts w:cs="Times New Roman"/>
          <w:iCs/>
        </w:rPr>
        <w:t xml:space="preserve"> occur in realistic cases </w:t>
      </w:r>
      <w:r w:rsidR="00D95E1A" w:rsidRPr="0025634E">
        <w:rPr>
          <w:rFonts w:cs="Times New Roman"/>
          <w:iCs/>
        </w:rPr>
        <w:t xml:space="preserve">are cases </w:t>
      </w:r>
      <w:r w:rsidR="007639BB">
        <w:rPr>
          <w:rFonts w:cs="Times New Roman"/>
          <w:iCs/>
        </w:rPr>
        <w:t xml:space="preserve">where all individuals are identically situated. </w:t>
      </w:r>
    </w:p>
    <w:p w14:paraId="7BED66DA" w14:textId="5B708727" w:rsidR="00505593" w:rsidRPr="00932334" w:rsidRDefault="00BC61D6" w:rsidP="00BC61D6">
      <w:pPr>
        <w:jc w:val="both"/>
      </w:pPr>
      <w:r w:rsidRPr="00BC61D6">
        <w:rPr>
          <w:rFonts w:cs="Times New Roman"/>
          <w:iCs/>
        </w:rPr>
        <w:t xml:space="preserve">This has implications for various positions in welfare economics. Theorists have argued that continuous prioritarians, along with certain types of egalitarians (where egalitarians place value on equality </w:t>
      </w:r>
      <w:r w:rsidR="000D2FC6">
        <w:rPr>
          <w:rFonts w:cs="Times New Roman"/>
          <w:iCs/>
        </w:rPr>
        <w:t>amongst</w:t>
      </w:r>
      <w:r w:rsidRPr="00BC61D6">
        <w:rPr>
          <w:rFonts w:cs="Times New Roman"/>
          <w:iCs/>
        </w:rPr>
        <w:t xml:space="preserve"> individuals) violate the </w:t>
      </w:r>
      <w:r w:rsidRPr="00BC61D6">
        <w:rPr>
          <w:rFonts w:cs="Times New Roman"/>
          <w:i/>
        </w:rPr>
        <w:t>ex ante</w:t>
      </w:r>
      <w:r w:rsidRPr="00BC61D6">
        <w:rPr>
          <w:rFonts w:cs="Times New Roman"/>
          <w:iCs/>
        </w:rPr>
        <w:t xml:space="preserve"> </w:t>
      </w:r>
      <w:r w:rsidR="00AC7632">
        <w:rPr>
          <w:rFonts w:cs="Times New Roman"/>
          <w:iCs/>
        </w:rPr>
        <w:t>Pareto</w:t>
      </w:r>
      <w:r w:rsidRPr="00BC61D6">
        <w:rPr>
          <w:rFonts w:cs="Times New Roman"/>
          <w:iCs/>
        </w:rPr>
        <w:t xml:space="preserve"> principle in some heartland cases </w:t>
      </w:r>
      <w:sdt>
        <w:sdtPr>
          <w:rPr>
            <w:rFonts w:cs="Times New Roman"/>
            <w:iCs/>
          </w:rPr>
          <w:id w:val="-113674942"/>
          <w:citation/>
        </w:sdtPr>
        <w:sdtEndPr/>
        <w:sdtContent>
          <w:r>
            <w:rPr>
              <w:rFonts w:cs="Times New Roman"/>
              <w:iCs/>
            </w:rPr>
            <w:fldChar w:fldCharType="begin"/>
          </w:r>
          <w:r w:rsidR="00762842">
            <w:rPr>
              <w:rFonts w:cs="Times New Roman"/>
              <w:iCs/>
            </w:rPr>
            <w:instrText xml:space="preserve">CITATION Adl17 \p 121 \t  \l 2057 </w:instrText>
          </w:r>
          <w:r>
            <w:rPr>
              <w:rFonts w:cs="Times New Roman"/>
              <w:iCs/>
            </w:rPr>
            <w:fldChar w:fldCharType="separate"/>
          </w:r>
          <w:r w:rsidR="00122864" w:rsidRPr="00122864">
            <w:rPr>
              <w:rFonts w:cs="Times New Roman"/>
              <w:noProof/>
            </w:rPr>
            <w:t>(Adler 2017, 121)</w:t>
          </w:r>
          <w:r>
            <w:rPr>
              <w:rFonts w:cs="Times New Roman"/>
              <w:iCs/>
            </w:rPr>
            <w:fldChar w:fldCharType="end"/>
          </w:r>
        </w:sdtContent>
      </w:sdt>
      <w:r w:rsidRPr="00BC61D6">
        <w:rPr>
          <w:rFonts w:cs="Times New Roman"/>
          <w:iCs/>
        </w:rPr>
        <w:t>. Though egalitarians and continuous prioritarian</w:t>
      </w:r>
      <w:r w:rsidR="00932334">
        <w:rPr>
          <w:rFonts w:cs="Times New Roman"/>
          <w:iCs/>
        </w:rPr>
        <w:t>s</w:t>
      </w:r>
      <w:r w:rsidRPr="00BC61D6">
        <w:rPr>
          <w:rFonts w:cs="Times New Roman"/>
          <w:iCs/>
        </w:rPr>
        <w:t xml:space="preserve"> can attempt to </w:t>
      </w:r>
      <w:r w:rsidR="007639BB">
        <w:rPr>
          <w:rFonts w:cs="Times New Roman"/>
          <w:iCs/>
        </w:rPr>
        <w:t>dismiss</w:t>
      </w:r>
      <w:r w:rsidR="00AC7632">
        <w:rPr>
          <w:rFonts w:cs="Times New Roman"/>
          <w:iCs/>
        </w:rPr>
        <w:t xml:space="preserve"> </w:t>
      </w:r>
      <w:r w:rsidRPr="00BC61D6">
        <w:rPr>
          <w:rFonts w:cs="Times New Roman"/>
          <w:iCs/>
        </w:rPr>
        <w:t xml:space="preserve">these concerns by denying the </w:t>
      </w:r>
      <w:r w:rsidRPr="00BC61D6">
        <w:rPr>
          <w:rFonts w:cs="Times New Roman"/>
          <w:i/>
        </w:rPr>
        <w:t>ex ante</w:t>
      </w:r>
      <w:r w:rsidRPr="00BC61D6">
        <w:rPr>
          <w:rFonts w:cs="Times New Roman"/>
          <w:iCs/>
        </w:rPr>
        <w:t xml:space="preserve"> </w:t>
      </w:r>
      <w:r w:rsidR="00AC7632">
        <w:rPr>
          <w:rFonts w:cs="Times New Roman"/>
          <w:iCs/>
        </w:rPr>
        <w:t>Pareto</w:t>
      </w:r>
      <w:r w:rsidRPr="00BC61D6">
        <w:rPr>
          <w:rFonts w:cs="Times New Roman"/>
          <w:iCs/>
        </w:rPr>
        <w:t xml:space="preserve"> principle, </w:t>
      </w:r>
      <w:r>
        <w:t>this denial look</w:t>
      </w:r>
      <w:r w:rsidR="00B02266">
        <w:t>s</w:t>
      </w:r>
      <w:r>
        <w:t xml:space="preserve"> particularly counter-intuitive where heartland cases are concerned. </w:t>
      </w:r>
      <w:r w:rsidR="00932334">
        <w:t>As we can now see, t</w:t>
      </w:r>
      <w:r>
        <w:t xml:space="preserve">hese debates have been operating with incompletely defined concepts – of both </w:t>
      </w:r>
      <w:r>
        <w:rPr>
          <w:i/>
          <w:iCs/>
        </w:rPr>
        <w:t>ex ante</w:t>
      </w:r>
      <w:r>
        <w:t xml:space="preserve"> </w:t>
      </w:r>
      <w:r w:rsidR="00AC7632">
        <w:t>Pareto</w:t>
      </w:r>
      <w:r>
        <w:t xml:space="preserve"> superiority, and heartland cases. The situation needs to be reassessed now that we have the </w:t>
      </w:r>
      <w:r w:rsidR="00932334">
        <w:t xml:space="preserve">concepts of </w:t>
      </w:r>
      <w:r>
        <w:rPr>
          <w:i/>
          <w:iCs/>
        </w:rPr>
        <w:t>ex ante</w:t>
      </w:r>
      <w:r>
        <w:t xml:space="preserve"> </w:t>
      </w:r>
      <w:r w:rsidR="00AC7632">
        <w:t>Pareto</w:t>
      </w:r>
      <w:r>
        <w:t xml:space="preserve"> </w:t>
      </w:r>
      <w:r w:rsidR="00932334">
        <w:t>superiority</w:t>
      </w:r>
      <w:r>
        <w:softHyphen/>
      </w:r>
      <w:r>
        <w:rPr>
          <w:vertAlign w:val="subscript"/>
        </w:rPr>
        <w:t>sup</w:t>
      </w:r>
      <w:r>
        <w:rPr>
          <w:vertAlign w:val="subscript"/>
        </w:rPr>
        <w:softHyphen/>
      </w:r>
      <w:r>
        <w:t xml:space="preserve"> and heartland cases</w:t>
      </w:r>
      <w:r>
        <w:rPr>
          <w:vertAlign w:val="subscript"/>
        </w:rPr>
        <w:t>sup</w:t>
      </w:r>
      <w:r>
        <w:t xml:space="preserve"> to work with. As shown above, there are no realistic heartland cases</w:t>
      </w:r>
      <w:r w:rsidRPr="00BC61D6">
        <w:rPr>
          <w:vertAlign w:val="subscript"/>
        </w:rPr>
        <w:t>sup</w:t>
      </w:r>
      <w:r>
        <w:t xml:space="preserve"> of interest to decision theorists over and above those cases where all individuals are identically situated. Thus egalitarians and continuous prioritarians have no significant quarrel with the </w:t>
      </w:r>
      <w:r w:rsidRPr="00BC61D6">
        <w:rPr>
          <w:i/>
          <w:iCs/>
        </w:rPr>
        <w:t>ex ante</w:t>
      </w:r>
      <w:r>
        <w:t xml:space="preserve"> </w:t>
      </w:r>
      <w:r w:rsidR="00AC7632">
        <w:t>Pareto</w:t>
      </w:r>
      <w:r>
        <w:t xml:space="preserve"> principle</w:t>
      </w:r>
      <w:r w:rsidR="00932334">
        <w:rPr>
          <w:vertAlign w:val="subscript"/>
        </w:rPr>
        <w:t>sup</w:t>
      </w:r>
      <w:r>
        <w:t xml:space="preserve"> over heartland cases</w:t>
      </w:r>
      <w:r w:rsidRPr="00BC61D6">
        <w:rPr>
          <w:vertAlign w:val="subscript"/>
        </w:rPr>
        <w:t>sup</w:t>
      </w:r>
      <w:r>
        <w:t xml:space="preserve"> – no quarrel that is over and above the quarrel </w:t>
      </w:r>
      <w:r>
        <w:lastRenderedPageBreak/>
        <w:t xml:space="preserve">that prioritarians (though not egalitarians </w:t>
      </w:r>
      <w:sdt>
        <w:sdtPr>
          <w:id w:val="28761582"/>
          <w:citation/>
        </w:sdtPr>
        <w:sdtEndPr/>
        <w:sdtContent>
          <w:r w:rsidR="007722DB">
            <w:fldChar w:fldCharType="begin"/>
          </w:r>
          <w:r w:rsidR="00E86F9C">
            <w:instrText xml:space="preserve">CITATION Ots09 \t  \m Ots18 \t  \l 2057 </w:instrText>
          </w:r>
          <w:r w:rsidR="007722DB">
            <w:fldChar w:fldCharType="separate"/>
          </w:r>
          <w:r w:rsidR="00122864">
            <w:rPr>
              <w:noProof/>
            </w:rPr>
            <w:t>(Otsuka and Voorhoeve 2009, Otsuka and Voorhoeve 2018)</w:t>
          </w:r>
          <w:r w:rsidR="007722DB">
            <w:fldChar w:fldCharType="end"/>
          </w:r>
        </w:sdtContent>
      </w:sdt>
      <w:r>
        <w:t xml:space="preserve">) have with the </w:t>
      </w:r>
      <w:r w:rsidRPr="00BC61D6">
        <w:rPr>
          <w:i/>
          <w:iCs/>
        </w:rPr>
        <w:t>ex a</w:t>
      </w:r>
      <w:r w:rsidR="00932334">
        <w:rPr>
          <w:i/>
          <w:iCs/>
        </w:rPr>
        <w:t xml:space="preserve">nte </w:t>
      </w:r>
      <w:r w:rsidR="00AC7632">
        <w:t>Pareto</w:t>
      </w:r>
      <w:r w:rsidR="00932334">
        <w:t xml:space="preserve"> principle</w:t>
      </w:r>
      <w:r w:rsidR="00932334">
        <w:rPr>
          <w:vertAlign w:val="subscript"/>
        </w:rPr>
        <w:t>sup</w:t>
      </w:r>
      <w:r w:rsidR="00932334">
        <w:t xml:space="preserve"> in cases where all individuals are identically situated. </w:t>
      </w:r>
    </w:p>
    <w:p w14:paraId="4B3F6C98" w14:textId="77777777" w:rsidR="00E20B24" w:rsidRDefault="00E20B24" w:rsidP="001859AE">
      <w:pPr>
        <w:jc w:val="both"/>
      </w:pPr>
    </w:p>
    <w:p w14:paraId="79A4F36C" w14:textId="127F6755" w:rsidR="00974CFB" w:rsidRDefault="00974CFB" w:rsidP="00974CFB">
      <w:pPr>
        <w:pStyle w:val="Heading2"/>
        <w:jc w:val="both"/>
      </w:pPr>
      <w:r>
        <w:t>Conclusion</w:t>
      </w:r>
    </w:p>
    <w:p w14:paraId="036E21E6" w14:textId="6F4D3BF7" w:rsidR="009260F8" w:rsidRDefault="00974CFB" w:rsidP="00B02266">
      <w:pPr>
        <w:jc w:val="both"/>
      </w:pPr>
      <w:r>
        <w:t xml:space="preserve">Until now, the </w:t>
      </w:r>
      <w:r>
        <w:rPr>
          <w:i/>
          <w:iCs/>
        </w:rPr>
        <w:t>ex ante</w:t>
      </w:r>
      <w:r>
        <w:t xml:space="preserve"> </w:t>
      </w:r>
      <w:r w:rsidR="00AC7632">
        <w:t>Pareto</w:t>
      </w:r>
      <w:r>
        <w:t xml:space="preserve"> principle has been incompletely defined, because of a failure to recognise that the prospects for an agent can depend on how that agent is designated. As I have shown, this problem is widespread, for in almost any policy choice situation there will be rival admissible sets of designators. I have offered two ways of reading the principle: a subvaluationist reading, and a supervaluationist reading. On the subvaluationist reading, the principle collapses into a version of utilitarianism: this reading of the principle is uncharitable when other readings are available.  I focused instead on the supervaluationist reading, which is faithful to the rationale underlying the principle. </w:t>
      </w:r>
    </w:p>
    <w:p w14:paraId="29A677F5" w14:textId="12C2A1DE" w:rsidR="009260F8" w:rsidRDefault="009260F8" w:rsidP="009260F8">
      <w:pPr>
        <w:jc w:val="both"/>
      </w:pPr>
      <w:r>
        <w:t xml:space="preserve">We cannot really compare the </w:t>
      </w:r>
      <w:r>
        <w:rPr>
          <w:i/>
          <w:iCs/>
        </w:rPr>
        <w:t>ex ante</w:t>
      </w:r>
      <w:r>
        <w:t xml:space="preserve"> </w:t>
      </w:r>
      <w:r w:rsidR="00AC7632">
        <w:t>Pareto</w:t>
      </w:r>
      <w:r>
        <w:t xml:space="preserve"> principle under the supervaluationist reading to the </w:t>
      </w:r>
      <w:r>
        <w:rPr>
          <w:i/>
          <w:iCs/>
        </w:rPr>
        <w:t>ex ante</w:t>
      </w:r>
      <w:r>
        <w:t xml:space="preserve"> </w:t>
      </w:r>
      <w:r w:rsidR="00AC7632">
        <w:t>Pareto</w:t>
      </w:r>
      <w:r>
        <w:t xml:space="preserve"> principle as it was generally understood before, because as it was generally understood before it was incompletely defined. Let us suppose, however, that on the old reading, the idea was that the </w:t>
      </w:r>
      <w:r>
        <w:rPr>
          <w:i/>
          <w:iCs/>
        </w:rPr>
        <w:t xml:space="preserve">ex ante </w:t>
      </w:r>
      <w:r w:rsidR="00AC7632">
        <w:t>Pareto</w:t>
      </w:r>
      <w:r>
        <w:t xml:space="preserve"> principle could be applied in any situation where some part</w:t>
      </w:r>
      <w:r w:rsidR="00B02266">
        <w:t>icular set of designators seems like the obvious one</w:t>
      </w:r>
      <w:r>
        <w:t xml:space="preserve"> to focus on, and then on the old reading P</w:t>
      </w:r>
      <w:r w:rsidRPr="00BC6144">
        <w:rPr>
          <w:i/>
          <w:vertAlign w:val="subscript"/>
        </w:rPr>
        <w:t>x</w:t>
      </w:r>
      <w:r w:rsidR="000D2FC6">
        <w:t xml:space="preserve"> counts</w:t>
      </w:r>
      <w:r>
        <w:t xml:space="preserve"> as </w:t>
      </w:r>
      <w:r w:rsidR="00AC7632">
        <w:rPr>
          <w:i/>
          <w:iCs/>
        </w:rPr>
        <w:t>Pareto</w:t>
      </w:r>
      <w:r>
        <w:t xml:space="preserve"> superior to</w:t>
      </w:r>
      <w:r w:rsidRPr="00BC6144">
        <w:rPr>
          <w:i/>
          <w:vertAlign w:val="subscript"/>
        </w:rPr>
        <w:t xml:space="preserve"> </w:t>
      </w:r>
      <w:r w:rsidRPr="00BC6144">
        <w:t>P</w:t>
      </w:r>
      <w:r w:rsidRPr="00BC6144">
        <w:rPr>
          <w:i/>
          <w:vertAlign w:val="subscript"/>
        </w:rPr>
        <w:t xml:space="preserve">y </w:t>
      </w:r>
      <w:r>
        <w:t>provided that P</w:t>
      </w:r>
      <w:r w:rsidRPr="00BC6144">
        <w:rPr>
          <w:i/>
          <w:vertAlign w:val="subscript"/>
        </w:rPr>
        <w:t>x</w:t>
      </w:r>
      <w:r>
        <w:t xml:space="preserve"> is </w:t>
      </w:r>
      <w:r w:rsidR="00AC7632">
        <w:t>Pareto</w:t>
      </w:r>
      <w:r>
        <w:t xml:space="preserve"> superior to</w:t>
      </w:r>
      <w:r w:rsidRPr="00BC6144">
        <w:rPr>
          <w:i/>
          <w:vertAlign w:val="subscript"/>
        </w:rPr>
        <w:t xml:space="preserve"> </w:t>
      </w:r>
      <w:r w:rsidRPr="00BC6144">
        <w:t>P</w:t>
      </w:r>
      <w:r w:rsidRPr="00BC6144">
        <w:rPr>
          <w:i/>
          <w:vertAlign w:val="subscript"/>
        </w:rPr>
        <w:t xml:space="preserve">y </w:t>
      </w:r>
      <w:r w:rsidR="00B02266">
        <w:t>relative to</w:t>
      </w:r>
      <w:r>
        <w:t xml:space="preserve"> this obvious set of designators. It then follows that it is harder (or at least, no easier) for a policy P</w:t>
      </w:r>
      <w:r w:rsidRPr="00BC6144">
        <w:rPr>
          <w:i/>
          <w:vertAlign w:val="subscript"/>
        </w:rPr>
        <w:t>x</w:t>
      </w:r>
      <w:r>
        <w:t xml:space="preserve"> to be </w:t>
      </w:r>
      <w:r>
        <w:rPr>
          <w:i/>
          <w:iCs/>
        </w:rPr>
        <w:t>ex ante</w:t>
      </w:r>
      <w:r>
        <w:t xml:space="preserve"> </w:t>
      </w:r>
      <w:r w:rsidR="00AC7632">
        <w:t>Pareto</w:t>
      </w:r>
      <w:r>
        <w:t xml:space="preserve"> superior to</w:t>
      </w:r>
      <w:r w:rsidRPr="00BC6144">
        <w:rPr>
          <w:i/>
          <w:vertAlign w:val="subscript"/>
        </w:rPr>
        <w:t xml:space="preserve"> </w:t>
      </w:r>
      <w:r w:rsidRPr="00BC6144">
        <w:t>P</w:t>
      </w:r>
      <w:r w:rsidRPr="00BC6144">
        <w:rPr>
          <w:i/>
          <w:vertAlign w:val="subscript"/>
        </w:rPr>
        <w:t xml:space="preserve">y </w:t>
      </w:r>
      <w:r>
        <w:t xml:space="preserve">on the supervaluationist reading, than it is for a policy to be </w:t>
      </w:r>
      <w:r>
        <w:rPr>
          <w:i/>
          <w:iCs/>
        </w:rPr>
        <w:t>ex ante</w:t>
      </w:r>
      <w:r>
        <w:t xml:space="preserve"> </w:t>
      </w:r>
      <w:r w:rsidR="00AC7632">
        <w:t>Pareto</w:t>
      </w:r>
      <w:r>
        <w:t xml:space="preserve"> superior to</w:t>
      </w:r>
      <w:r w:rsidRPr="00BC6144">
        <w:rPr>
          <w:i/>
          <w:vertAlign w:val="subscript"/>
        </w:rPr>
        <w:t xml:space="preserve"> </w:t>
      </w:r>
      <w:r w:rsidRPr="00BC6144">
        <w:t>P</w:t>
      </w:r>
      <w:r w:rsidRPr="00BC6144">
        <w:rPr>
          <w:i/>
          <w:vertAlign w:val="subscript"/>
        </w:rPr>
        <w:t xml:space="preserve">y </w:t>
      </w:r>
      <w:r w:rsidR="000D2FC6">
        <w:t>on the old</w:t>
      </w:r>
      <w:r>
        <w:t xml:space="preserve"> reading</w:t>
      </w:r>
      <w:r w:rsidR="00BC61D6">
        <w:t xml:space="preserve"> – for of course if P</w:t>
      </w:r>
      <w:r w:rsidR="00BC61D6">
        <w:rPr>
          <w:i/>
          <w:iCs/>
          <w:vertAlign w:val="subscript"/>
        </w:rPr>
        <w:t>x</w:t>
      </w:r>
      <w:r w:rsidR="00BC61D6">
        <w:t xml:space="preserve"> is </w:t>
      </w:r>
      <w:r w:rsidR="00BC61D6">
        <w:rPr>
          <w:i/>
          <w:iCs/>
        </w:rPr>
        <w:t>ex ante</w:t>
      </w:r>
      <w:r w:rsidR="00BC61D6">
        <w:t xml:space="preserve"> </w:t>
      </w:r>
      <w:r w:rsidR="00AC7632">
        <w:t>Pareto</w:t>
      </w:r>
      <w:r w:rsidR="00BC61D6">
        <w:t xml:space="preserve"> superior relative to all admissible sets of </w:t>
      </w:r>
      <w:r w:rsidR="00BC61D6">
        <w:lastRenderedPageBreak/>
        <w:t xml:space="preserve">designators, then it is </w:t>
      </w:r>
      <w:r w:rsidR="00BC61D6">
        <w:rPr>
          <w:i/>
          <w:iCs/>
        </w:rPr>
        <w:t>ex ante</w:t>
      </w:r>
      <w:r w:rsidR="00BC61D6">
        <w:t xml:space="preserve"> </w:t>
      </w:r>
      <w:r w:rsidR="00AC7632">
        <w:t>Pareto</w:t>
      </w:r>
      <w:r w:rsidR="00BC61D6">
        <w:t xml:space="preserve"> superior relative to the obvious set. </w:t>
      </w:r>
      <w:r>
        <w:t xml:space="preserve">It follows that the </w:t>
      </w:r>
      <w:r>
        <w:rPr>
          <w:i/>
          <w:iCs/>
        </w:rPr>
        <w:t xml:space="preserve">ex ante </w:t>
      </w:r>
      <w:r w:rsidR="00AC7632">
        <w:t>Pareto</w:t>
      </w:r>
      <w:r>
        <w:t xml:space="preserve"> principle is weaker under the supervaluationist reading than it is under the o</w:t>
      </w:r>
      <w:r w:rsidR="00B02266">
        <w:t>ld</w:t>
      </w:r>
      <w:r>
        <w:t xml:space="preserve"> reading. </w:t>
      </w:r>
      <w:r w:rsidR="000D2FC6">
        <w:t xml:space="preserve">Nevertheless under the supervaluationist reading the principle is not entirely without teeth, and moreover it is both coherent and </w:t>
      </w:r>
      <w:r>
        <w:t xml:space="preserve">intuitively compelling. </w:t>
      </w:r>
    </w:p>
    <w:p w14:paraId="233A51BE" w14:textId="40599529" w:rsidR="00232606" w:rsidRDefault="00974CFB" w:rsidP="00B02266">
      <w:pPr>
        <w:jc w:val="both"/>
      </w:pPr>
      <w:r>
        <w:t xml:space="preserve">The implications of </w:t>
      </w:r>
      <w:r w:rsidR="009260F8">
        <w:t xml:space="preserve">the </w:t>
      </w:r>
      <w:r w:rsidR="009260F8">
        <w:rPr>
          <w:i/>
          <w:iCs/>
        </w:rPr>
        <w:t>ex ante</w:t>
      </w:r>
      <w:r w:rsidR="009260F8">
        <w:t xml:space="preserve"> </w:t>
      </w:r>
      <w:r w:rsidR="00AC7632">
        <w:t>Pareto</w:t>
      </w:r>
      <w:r w:rsidR="009260F8">
        <w:t xml:space="preserve"> principle</w:t>
      </w:r>
      <w:r w:rsidR="009260F8">
        <w:rPr>
          <w:vertAlign w:val="subscript"/>
        </w:rPr>
        <w:t>sup</w:t>
      </w:r>
      <w:r>
        <w:t xml:space="preserve"> require much more investigation, </w:t>
      </w:r>
      <w:r w:rsidR="009260F8">
        <w:t xml:space="preserve">and here I just began this investigation by </w:t>
      </w:r>
      <w:r>
        <w:t xml:space="preserve">exploring some of the implications for the principle for various versions of prioritarianism and egalitarianism. </w:t>
      </w:r>
      <w:r w:rsidR="009260F8">
        <w:t>Furthermore, t</w:t>
      </w:r>
      <w:r w:rsidR="00257A5A" w:rsidRPr="00554076">
        <w:t xml:space="preserve">he points made in this paper can be generalised. The problem of giving a complete definition of the </w:t>
      </w:r>
      <w:r w:rsidR="00257A5A" w:rsidRPr="00554076">
        <w:rPr>
          <w:i/>
          <w:iCs/>
        </w:rPr>
        <w:t>ex ante</w:t>
      </w:r>
      <w:r w:rsidR="00257A5A" w:rsidRPr="00554076">
        <w:t xml:space="preserve"> </w:t>
      </w:r>
      <w:r w:rsidR="00AC7632">
        <w:t>Pareto</w:t>
      </w:r>
      <w:r w:rsidR="00257A5A" w:rsidRPr="00554076">
        <w:t xml:space="preserve"> principle has analogues for many other principles that make use of the idea of expected welfare – including for example </w:t>
      </w:r>
      <w:r w:rsidR="00257A5A">
        <w:t xml:space="preserve">fairness principles </w:t>
      </w:r>
      <w:r w:rsidR="00257A5A" w:rsidRPr="00554076">
        <w:t xml:space="preserve">that favour distributions that give people equal expected welfare, all else being equal </w:t>
      </w:r>
      <w:sdt>
        <w:sdtPr>
          <w:id w:val="-452324855"/>
          <w:citation/>
        </w:sdtPr>
        <w:sdtEndPr/>
        <w:sdtContent>
          <w:r w:rsidR="00257A5A">
            <w:fldChar w:fldCharType="begin"/>
          </w:r>
          <w:r w:rsidR="00257A5A">
            <w:instrText xml:space="preserve"> CITATION Dia67 \l 2057 </w:instrText>
          </w:r>
          <w:r w:rsidR="00257A5A">
            <w:fldChar w:fldCharType="separate"/>
          </w:r>
          <w:r w:rsidR="00122864">
            <w:rPr>
              <w:noProof/>
            </w:rPr>
            <w:t>(Diamond 1967)</w:t>
          </w:r>
          <w:r w:rsidR="00257A5A">
            <w:fldChar w:fldCharType="end"/>
          </w:r>
        </w:sdtContent>
      </w:sdt>
      <w:r w:rsidR="00257A5A">
        <w:t xml:space="preserve">, or that rate outcomes higher when they were chosen by fair selection processes </w:t>
      </w:r>
      <w:sdt>
        <w:sdtPr>
          <w:id w:val="-1444213348"/>
          <w:citation/>
        </w:sdtPr>
        <w:sdtEndPr/>
        <w:sdtContent>
          <w:r w:rsidR="00257A5A">
            <w:fldChar w:fldCharType="begin"/>
          </w:r>
          <w:r w:rsidR="00257A5A">
            <w:instrText xml:space="preserve"> CITATION Bro84 \l 2057 </w:instrText>
          </w:r>
          <w:r w:rsidR="00257A5A">
            <w:fldChar w:fldCharType="separate"/>
          </w:r>
          <w:r w:rsidR="00122864">
            <w:rPr>
              <w:noProof/>
            </w:rPr>
            <w:t>(Broome 1984)</w:t>
          </w:r>
          <w:r w:rsidR="00257A5A">
            <w:fldChar w:fldCharType="end"/>
          </w:r>
        </w:sdtContent>
      </w:sdt>
      <w:r w:rsidR="00257A5A">
        <w:t xml:space="preserve">. The problem also arises for principles that make use of the idea of a hybrid of expected and final welfare </w:t>
      </w:r>
      <w:sdt>
        <w:sdtPr>
          <w:id w:val="-657539150"/>
          <w:citation/>
        </w:sdtPr>
        <w:sdtEndPr/>
        <w:sdtContent>
          <w:r w:rsidR="00257A5A">
            <w:fldChar w:fldCharType="begin"/>
          </w:r>
          <w:r w:rsidR="00DD2F21">
            <w:instrText xml:space="preserve">CITATION Fle16 \t  \l 2057 </w:instrText>
          </w:r>
          <w:r w:rsidR="00257A5A">
            <w:fldChar w:fldCharType="separate"/>
          </w:r>
          <w:r w:rsidR="00122864">
            <w:rPr>
              <w:noProof/>
            </w:rPr>
            <w:t>(Voorhoeve and Fleurbaey 2016)</w:t>
          </w:r>
          <w:r w:rsidR="00257A5A">
            <w:fldChar w:fldCharType="end"/>
          </w:r>
        </w:sdtContent>
      </w:sdt>
      <w:r w:rsidR="00F9111B">
        <w:t xml:space="preserve">, and </w:t>
      </w:r>
      <w:r w:rsidR="000168CE">
        <w:t>for competing claims models and varia</w:t>
      </w:r>
      <w:r w:rsidR="00A5032F">
        <w:t xml:space="preserve">nts on these, whenever </w:t>
      </w:r>
      <w:r w:rsidR="00A5032F">
        <w:rPr>
          <w:i/>
          <w:iCs/>
        </w:rPr>
        <w:t xml:space="preserve">ex </w:t>
      </w:r>
      <w:r w:rsidR="00A5032F" w:rsidRPr="00A5032F">
        <w:rPr>
          <w:i/>
          <w:iCs/>
        </w:rPr>
        <w:t>ante</w:t>
      </w:r>
      <w:r w:rsidR="00A5032F">
        <w:t xml:space="preserve"> claims are part of the model (for discussion on these models, see </w:t>
      </w:r>
      <w:sdt>
        <w:sdtPr>
          <w:id w:val="1613547804"/>
          <w:citation/>
        </w:sdtPr>
        <w:sdtEndPr/>
        <w:sdtContent>
          <w:r w:rsidR="00A5032F">
            <w:fldChar w:fldCharType="begin"/>
          </w:r>
          <w:r w:rsidR="00A5032F">
            <w:instrText xml:space="preserve"> CITATION Fri15 \l 2057  \m Hor17</w:instrText>
          </w:r>
          <w:r w:rsidR="00A5032F">
            <w:fldChar w:fldCharType="separate"/>
          </w:r>
          <w:r w:rsidR="00122864">
            <w:rPr>
              <w:noProof/>
            </w:rPr>
            <w:t>(Frick 2015, Horton 2017)</w:t>
          </w:r>
          <w:r w:rsidR="00A5032F">
            <w:fldChar w:fldCharType="end"/>
          </w:r>
        </w:sdtContent>
      </w:sdt>
      <w:r w:rsidR="00A5032F">
        <w:t xml:space="preserve">). </w:t>
      </w:r>
      <w:r w:rsidR="003D75CE" w:rsidRPr="00A5032F">
        <w:t>Here</w:t>
      </w:r>
      <w:r w:rsidR="003D75CE">
        <w:t xml:space="preserve"> I have focused on the particular example of the </w:t>
      </w:r>
      <w:r w:rsidR="003D75CE">
        <w:rPr>
          <w:i/>
          <w:iCs/>
        </w:rPr>
        <w:t>ex ante</w:t>
      </w:r>
      <w:r w:rsidR="003D75CE">
        <w:t xml:space="preserve"> </w:t>
      </w:r>
      <w:r w:rsidR="00AC7632">
        <w:t>Pareto</w:t>
      </w:r>
      <w:r w:rsidR="003D75CE">
        <w:t xml:space="preserve"> principle, but th</w:t>
      </w:r>
      <w:r w:rsidR="00232606">
        <w:t>e implications for a wide range of principles are far-reaching.</w:t>
      </w:r>
    </w:p>
    <w:p w14:paraId="003CBDC8" w14:textId="77777777" w:rsidR="009260F8" w:rsidRDefault="009260F8" w:rsidP="00257A5A"/>
    <w:sdt>
      <w:sdtPr>
        <w:rPr>
          <w:rFonts w:eastAsiaTheme="minorHAnsi" w:cstheme="minorBidi"/>
          <w:color w:val="auto"/>
          <w:sz w:val="22"/>
          <w:szCs w:val="22"/>
        </w:rPr>
        <w:id w:val="-165556386"/>
        <w:docPartObj>
          <w:docPartGallery w:val="Bibliographies"/>
          <w:docPartUnique/>
        </w:docPartObj>
      </w:sdtPr>
      <w:sdtEndPr>
        <w:rPr>
          <w:b/>
          <w:bCs/>
          <w:sz w:val="24"/>
        </w:rPr>
      </w:sdtEndPr>
      <w:sdtContent>
        <w:p w14:paraId="781F6FC1" w14:textId="6DF214B6" w:rsidR="007A2A57" w:rsidRDefault="007A2A57">
          <w:pPr>
            <w:pStyle w:val="Heading1"/>
          </w:pPr>
          <w:r>
            <w:t>Works Cited</w:t>
          </w:r>
        </w:p>
        <w:p w14:paraId="14DB59A0" w14:textId="77777777" w:rsidR="00122864" w:rsidRDefault="007A2A57" w:rsidP="00122864">
          <w:pPr>
            <w:pStyle w:val="Bibliography"/>
            <w:ind w:left="720" w:hanging="720"/>
            <w:rPr>
              <w:noProof/>
              <w:szCs w:val="24"/>
            </w:rPr>
          </w:pPr>
          <w:r>
            <w:fldChar w:fldCharType="begin"/>
          </w:r>
          <w:r>
            <w:instrText xml:space="preserve"> BIBLIOGRAPHY </w:instrText>
          </w:r>
          <w:r>
            <w:fldChar w:fldCharType="separate"/>
          </w:r>
          <w:r w:rsidR="00122864">
            <w:rPr>
              <w:noProof/>
            </w:rPr>
            <w:t xml:space="preserve">Adler, Matt. 2017. </w:t>
          </w:r>
          <w:r w:rsidR="00122864">
            <w:rPr>
              <w:i/>
              <w:iCs/>
              <w:noProof/>
            </w:rPr>
            <w:t>Measuring Social Welfare: An Introduction.</w:t>
          </w:r>
          <w:r w:rsidR="00122864">
            <w:rPr>
              <w:noProof/>
            </w:rPr>
            <w:t xml:space="preserve"> Manuscript.</w:t>
          </w:r>
        </w:p>
        <w:p w14:paraId="3E09FC75" w14:textId="77777777" w:rsidR="00122864" w:rsidRDefault="00122864" w:rsidP="00122864">
          <w:pPr>
            <w:pStyle w:val="Bibliography"/>
            <w:ind w:left="720" w:hanging="720"/>
            <w:rPr>
              <w:noProof/>
            </w:rPr>
          </w:pPr>
          <w:r>
            <w:rPr>
              <w:noProof/>
            </w:rPr>
            <w:t xml:space="preserve">Adler, Matt, and Nils Holtung. 2019. “Prioritarianism: A Response to Critics.” </w:t>
          </w:r>
          <w:r>
            <w:rPr>
              <w:i/>
              <w:iCs/>
              <w:noProof/>
            </w:rPr>
            <w:t>Politics, Philosophy &amp; Economics</w:t>
          </w:r>
          <w:r>
            <w:rPr>
              <w:noProof/>
            </w:rPr>
            <w:t xml:space="preserve"> 18 (2): 101-144.</w:t>
          </w:r>
        </w:p>
        <w:p w14:paraId="2026EA39" w14:textId="77777777" w:rsidR="00122864" w:rsidRDefault="00122864" w:rsidP="00122864">
          <w:pPr>
            <w:pStyle w:val="Bibliography"/>
            <w:ind w:left="720" w:hanging="720"/>
            <w:rPr>
              <w:noProof/>
            </w:rPr>
          </w:pPr>
          <w:r>
            <w:rPr>
              <w:noProof/>
            </w:rPr>
            <w:lastRenderedPageBreak/>
            <w:t xml:space="preserve">Braun, D. 2016. “The Objects of Belief and Credence.” </w:t>
          </w:r>
          <w:r>
            <w:rPr>
              <w:i/>
              <w:iCs/>
              <w:noProof/>
            </w:rPr>
            <w:t>Mind</w:t>
          </w:r>
          <w:r>
            <w:rPr>
              <w:noProof/>
            </w:rPr>
            <w:t xml:space="preserve"> 125 (498): 469–497.</w:t>
          </w:r>
        </w:p>
        <w:p w14:paraId="0FF45EC2" w14:textId="77777777" w:rsidR="00122864" w:rsidRDefault="00122864" w:rsidP="00122864">
          <w:pPr>
            <w:pStyle w:val="Bibliography"/>
            <w:ind w:left="720" w:hanging="720"/>
            <w:rPr>
              <w:noProof/>
            </w:rPr>
          </w:pPr>
          <w:r>
            <w:rPr>
              <w:noProof/>
            </w:rPr>
            <w:t xml:space="preserve">Broome, John. 1984. “Uncertainty and Fairness.” </w:t>
          </w:r>
          <w:r>
            <w:rPr>
              <w:i/>
              <w:iCs/>
              <w:noProof/>
            </w:rPr>
            <w:t>The Economic Journal</w:t>
          </w:r>
          <w:r>
            <w:rPr>
              <w:noProof/>
            </w:rPr>
            <w:t xml:space="preserve"> 94 (375): 624-632.</w:t>
          </w:r>
        </w:p>
        <w:p w14:paraId="2CE3E7FC" w14:textId="77777777" w:rsidR="00122864" w:rsidRDefault="00122864" w:rsidP="00122864">
          <w:pPr>
            <w:pStyle w:val="Bibliography"/>
            <w:ind w:left="720" w:hanging="720"/>
            <w:rPr>
              <w:noProof/>
            </w:rPr>
          </w:pPr>
          <w:r>
            <w:rPr>
              <w:noProof/>
            </w:rPr>
            <w:t xml:space="preserve">Diamond, Peter A. 1967. “Cardinal Welfare, Individualistic Ethics, and Interpersonal Comparison of Utility.” </w:t>
          </w:r>
          <w:r>
            <w:rPr>
              <w:i/>
              <w:iCs/>
              <w:noProof/>
            </w:rPr>
            <w:t>Journal of Political Economy</w:t>
          </w:r>
          <w:r>
            <w:rPr>
              <w:noProof/>
            </w:rPr>
            <w:t xml:space="preserve"> 75 (5): 756-766.</w:t>
          </w:r>
        </w:p>
        <w:p w14:paraId="3E47682B" w14:textId="77777777" w:rsidR="00122864" w:rsidRDefault="00122864" w:rsidP="00122864">
          <w:pPr>
            <w:pStyle w:val="Bibliography"/>
            <w:ind w:left="720" w:hanging="720"/>
            <w:rPr>
              <w:noProof/>
            </w:rPr>
          </w:pPr>
          <w:r>
            <w:rPr>
              <w:noProof/>
            </w:rPr>
            <w:t xml:space="preserve">Evans, Gareth. 1979. “Reference and Contingency.” </w:t>
          </w:r>
          <w:r>
            <w:rPr>
              <w:i/>
              <w:iCs/>
              <w:noProof/>
            </w:rPr>
            <w:t>The Monist</w:t>
          </w:r>
          <w:r>
            <w:rPr>
              <w:noProof/>
            </w:rPr>
            <w:t xml:space="preserve"> 62 (2): 161-189.</w:t>
          </w:r>
        </w:p>
        <w:p w14:paraId="5474073F" w14:textId="77777777" w:rsidR="00122864" w:rsidRDefault="00122864" w:rsidP="00122864">
          <w:pPr>
            <w:pStyle w:val="Bibliography"/>
            <w:ind w:left="720" w:hanging="720"/>
            <w:rPr>
              <w:noProof/>
            </w:rPr>
          </w:pPr>
          <w:r>
            <w:rPr>
              <w:noProof/>
            </w:rPr>
            <w:t xml:space="preserve">—. 1982. </w:t>
          </w:r>
          <w:r>
            <w:rPr>
              <w:i/>
              <w:iCs/>
              <w:noProof/>
            </w:rPr>
            <w:t>The Varieties of Reference.</w:t>
          </w:r>
          <w:r>
            <w:rPr>
              <w:noProof/>
            </w:rPr>
            <w:t xml:space="preserve"> OUP.</w:t>
          </w:r>
        </w:p>
        <w:p w14:paraId="0246DCA0" w14:textId="77777777" w:rsidR="00122864" w:rsidRDefault="00122864" w:rsidP="00122864">
          <w:pPr>
            <w:pStyle w:val="Bibliography"/>
            <w:ind w:left="720" w:hanging="720"/>
            <w:rPr>
              <w:noProof/>
            </w:rPr>
          </w:pPr>
          <w:r>
            <w:rPr>
              <w:noProof/>
            </w:rPr>
            <w:t xml:space="preserve">Fleurbaey, Marc. 2010. “Risky Social Situations.” </w:t>
          </w:r>
          <w:r>
            <w:rPr>
              <w:i/>
              <w:iCs/>
              <w:noProof/>
            </w:rPr>
            <w:t>Journal of Political Economy</w:t>
          </w:r>
          <w:r>
            <w:rPr>
              <w:noProof/>
            </w:rPr>
            <w:t xml:space="preserve"> 118 (4): 649-680.</w:t>
          </w:r>
        </w:p>
        <w:p w14:paraId="738A8657" w14:textId="77777777" w:rsidR="00122864" w:rsidRDefault="00122864" w:rsidP="00122864">
          <w:pPr>
            <w:pStyle w:val="Bibliography"/>
            <w:ind w:left="720" w:hanging="720"/>
            <w:rPr>
              <w:noProof/>
            </w:rPr>
          </w:pPr>
          <w:r>
            <w:rPr>
              <w:noProof/>
            </w:rPr>
            <w:t xml:space="preserve">Frege, Gottlob. 1980. “On Sense and Reference.” In </w:t>
          </w:r>
          <w:r>
            <w:rPr>
              <w:i/>
              <w:iCs/>
              <w:noProof/>
            </w:rPr>
            <w:t>Translations from the Philosophical Writings of Gottlob Frege</w:t>
          </w:r>
          <w:r>
            <w:rPr>
              <w:noProof/>
            </w:rPr>
            <w:t>, by P Geach and M Black (eds. and trans.), 25-50. Oxford: Blackwell.</w:t>
          </w:r>
        </w:p>
        <w:p w14:paraId="2450BBDC" w14:textId="77777777" w:rsidR="00122864" w:rsidRDefault="00122864" w:rsidP="00122864">
          <w:pPr>
            <w:pStyle w:val="Bibliography"/>
            <w:ind w:left="720" w:hanging="720"/>
            <w:rPr>
              <w:noProof/>
            </w:rPr>
          </w:pPr>
          <w:r>
            <w:rPr>
              <w:noProof/>
            </w:rPr>
            <w:t xml:space="preserve">Frick, Johann. 2015. “Contractualism and Social Risk.” </w:t>
          </w:r>
          <w:r>
            <w:rPr>
              <w:i/>
              <w:iCs/>
              <w:noProof/>
            </w:rPr>
            <w:t>Philosophy &amp; Public Affairs</w:t>
          </w:r>
          <w:r>
            <w:rPr>
              <w:noProof/>
            </w:rPr>
            <w:t xml:space="preserve"> 43 (3): 175-223.</w:t>
          </w:r>
        </w:p>
        <w:p w14:paraId="4843A1E4" w14:textId="77777777" w:rsidR="00122864" w:rsidRDefault="00122864" w:rsidP="00122864">
          <w:pPr>
            <w:pStyle w:val="Bibliography"/>
            <w:ind w:left="720" w:hanging="720"/>
            <w:rPr>
              <w:noProof/>
            </w:rPr>
          </w:pPr>
          <w:r>
            <w:rPr>
              <w:noProof/>
            </w:rPr>
            <w:t xml:space="preserve">Harsanyi, John. 1977. </w:t>
          </w:r>
          <w:r>
            <w:rPr>
              <w:i/>
              <w:iCs/>
              <w:noProof/>
            </w:rPr>
            <w:t>Rational Behaviour and Bargaining Equilibrium in Games and Social Situations.</w:t>
          </w:r>
          <w:r>
            <w:rPr>
              <w:noProof/>
            </w:rPr>
            <w:t xml:space="preserve"> Cambridge: CUP.</w:t>
          </w:r>
        </w:p>
        <w:p w14:paraId="65A67FCB" w14:textId="77777777" w:rsidR="00122864" w:rsidRDefault="00122864" w:rsidP="00122864">
          <w:pPr>
            <w:pStyle w:val="Bibliography"/>
            <w:ind w:left="720" w:hanging="720"/>
            <w:rPr>
              <w:noProof/>
            </w:rPr>
          </w:pPr>
          <w:r>
            <w:rPr>
              <w:noProof/>
            </w:rPr>
            <w:t xml:space="preserve">Horton, Joe. 2017. “Aggregation, Complaints, and Risk.” </w:t>
          </w:r>
          <w:r>
            <w:rPr>
              <w:i/>
              <w:iCs/>
              <w:noProof/>
            </w:rPr>
            <w:t>Philosophy &amp; Public Affairs</w:t>
          </w:r>
          <w:r>
            <w:rPr>
              <w:noProof/>
            </w:rPr>
            <w:t xml:space="preserve"> 45: 54–81.</w:t>
          </w:r>
        </w:p>
        <w:p w14:paraId="3F817207" w14:textId="77777777" w:rsidR="00122864" w:rsidRDefault="00122864" w:rsidP="00122864">
          <w:pPr>
            <w:pStyle w:val="Bibliography"/>
            <w:ind w:left="720" w:hanging="720"/>
            <w:rPr>
              <w:noProof/>
            </w:rPr>
          </w:pPr>
          <w:r>
            <w:rPr>
              <w:noProof/>
            </w:rPr>
            <w:t xml:space="preserve">Kripke, Saul. 1980. </w:t>
          </w:r>
          <w:r>
            <w:rPr>
              <w:i/>
              <w:iCs/>
              <w:noProof/>
            </w:rPr>
            <w:t>Naming and Necessity.</w:t>
          </w:r>
          <w:r>
            <w:rPr>
              <w:noProof/>
            </w:rPr>
            <w:t xml:space="preserve"> Cambridge, MA: Harvard University Press.</w:t>
          </w:r>
        </w:p>
        <w:p w14:paraId="640043DE" w14:textId="77777777" w:rsidR="00122864" w:rsidRDefault="00122864" w:rsidP="00122864">
          <w:pPr>
            <w:pStyle w:val="Bibliography"/>
            <w:ind w:left="720" w:hanging="720"/>
            <w:rPr>
              <w:noProof/>
            </w:rPr>
          </w:pPr>
          <w:r>
            <w:rPr>
              <w:noProof/>
            </w:rPr>
            <w:t xml:space="preserve">McCarthy, David. 2015. “Distributive Equality.” </w:t>
          </w:r>
          <w:r>
            <w:rPr>
              <w:i/>
              <w:iCs/>
              <w:noProof/>
            </w:rPr>
            <w:t>Mind</w:t>
          </w:r>
          <w:r>
            <w:rPr>
              <w:noProof/>
            </w:rPr>
            <w:t xml:space="preserve"> 124 (496): 1045-1109.</w:t>
          </w:r>
        </w:p>
        <w:p w14:paraId="793886DE" w14:textId="77777777" w:rsidR="00122864" w:rsidRDefault="00122864" w:rsidP="00122864">
          <w:pPr>
            <w:pStyle w:val="Bibliography"/>
            <w:ind w:left="720" w:hanging="720"/>
            <w:rPr>
              <w:noProof/>
            </w:rPr>
          </w:pPr>
          <w:r>
            <w:rPr>
              <w:noProof/>
            </w:rPr>
            <w:t xml:space="preserve">Ninan, Dilip. 2018. “Quantification and Epistemic Modality .” </w:t>
          </w:r>
          <w:r>
            <w:rPr>
              <w:i/>
              <w:iCs/>
              <w:noProof/>
            </w:rPr>
            <w:t>The Philosophical Review</w:t>
          </w:r>
          <w:r>
            <w:rPr>
              <w:noProof/>
            </w:rPr>
            <w:t xml:space="preserve"> 127 (4): 433–485.</w:t>
          </w:r>
        </w:p>
        <w:p w14:paraId="089AF015" w14:textId="77777777" w:rsidR="00122864" w:rsidRDefault="00122864" w:rsidP="00122864">
          <w:pPr>
            <w:pStyle w:val="Bibliography"/>
            <w:ind w:left="720" w:hanging="720"/>
            <w:rPr>
              <w:noProof/>
            </w:rPr>
          </w:pPr>
          <w:r>
            <w:rPr>
              <w:noProof/>
            </w:rPr>
            <w:lastRenderedPageBreak/>
            <w:t xml:space="preserve">Otsuka, Mike, and Alex Voorhoeve. 2018. “Equality versus Priority.” In </w:t>
          </w:r>
          <w:r>
            <w:rPr>
              <w:i/>
              <w:iCs/>
              <w:noProof/>
            </w:rPr>
            <w:t>Oxford Handbook of Distributive Justice</w:t>
          </w:r>
          <w:r>
            <w:rPr>
              <w:noProof/>
            </w:rPr>
            <w:t>, by Serena Olsaretti (ed.), 65-85. Oxford: OUP.</w:t>
          </w:r>
        </w:p>
        <w:p w14:paraId="3AF90BCD" w14:textId="77777777" w:rsidR="00122864" w:rsidRDefault="00122864" w:rsidP="00122864">
          <w:pPr>
            <w:pStyle w:val="Bibliography"/>
            <w:ind w:left="720" w:hanging="720"/>
            <w:rPr>
              <w:noProof/>
            </w:rPr>
          </w:pPr>
          <w:r>
            <w:rPr>
              <w:noProof/>
            </w:rPr>
            <w:t xml:space="preserve">Otsuka, Mike, and Alex Voorhoeve. 2009. “Why It Matters That Some Are Worse off than Others: An Argument against the Priority.” </w:t>
          </w:r>
          <w:r>
            <w:rPr>
              <w:i/>
              <w:iCs/>
              <w:noProof/>
            </w:rPr>
            <w:t>Philosophy &amp; Public Affairs</w:t>
          </w:r>
          <w:r>
            <w:rPr>
              <w:noProof/>
            </w:rPr>
            <w:t xml:space="preserve"> 37 (2): 171-199.</w:t>
          </w:r>
        </w:p>
        <w:p w14:paraId="7F469DD2" w14:textId="77777777" w:rsidR="00122864" w:rsidRDefault="00122864" w:rsidP="00122864">
          <w:pPr>
            <w:pStyle w:val="Bibliography"/>
            <w:ind w:left="720" w:hanging="720"/>
            <w:rPr>
              <w:noProof/>
            </w:rPr>
          </w:pPr>
          <w:r>
            <w:rPr>
              <w:noProof/>
            </w:rPr>
            <w:t xml:space="preserve">Russell, Bertrand. 1912. “Knowledge by Acquaintance and Knowledge by Description.” </w:t>
          </w:r>
          <w:r>
            <w:rPr>
              <w:i/>
              <w:iCs/>
              <w:noProof/>
            </w:rPr>
            <w:t>Proceedings of the Aristotelian Society</w:t>
          </w:r>
          <w:r>
            <w:rPr>
              <w:noProof/>
            </w:rPr>
            <w:t xml:space="preserve"> 11: 108-128.</w:t>
          </w:r>
        </w:p>
        <w:p w14:paraId="53218623" w14:textId="77777777" w:rsidR="00122864" w:rsidRDefault="00122864" w:rsidP="00122864">
          <w:pPr>
            <w:pStyle w:val="Bibliography"/>
            <w:ind w:left="720" w:hanging="720"/>
            <w:rPr>
              <w:noProof/>
            </w:rPr>
          </w:pPr>
          <w:r>
            <w:rPr>
              <w:noProof/>
            </w:rPr>
            <w:t xml:space="preserve">Salmon, N. 1989. “Illogical Belief.” </w:t>
          </w:r>
          <w:r>
            <w:rPr>
              <w:i/>
              <w:iCs/>
              <w:noProof/>
            </w:rPr>
            <w:t>Philosophical Perspectives</w:t>
          </w:r>
          <w:r>
            <w:rPr>
              <w:noProof/>
            </w:rPr>
            <w:t xml:space="preserve"> 3: 243-285.</w:t>
          </w:r>
        </w:p>
        <w:p w14:paraId="4823C880" w14:textId="77777777" w:rsidR="00122864" w:rsidRDefault="00122864" w:rsidP="00122864">
          <w:pPr>
            <w:pStyle w:val="Bibliography"/>
            <w:ind w:left="720" w:hanging="720"/>
            <w:rPr>
              <w:noProof/>
            </w:rPr>
          </w:pPr>
          <w:r>
            <w:rPr>
              <w:noProof/>
            </w:rPr>
            <w:t xml:space="preserve">Searle, John R. 1983. “Proper Names and Intentionality.” </w:t>
          </w:r>
          <w:r>
            <w:rPr>
              <w:i/>
              <w:iCs/>
              <w:noProof/>
            </w:rPr>
            <w:t>Pacific Philosophical Quarterly</w:t>
          </w:r>
          <w:r>
            <w:rPr>
              <w:noProof/>
            </w:rPr>
            <w:t xml:space="preserve"> 63 (3): 205-225.</w:t>
          </w:r>
        </w:p>
        <w:p w14:paraId="1FCFC3E6" w14:textId="77777777" w:rsidR="00122864" w:rsidRDefault="00122864" w:rsidP="00122864">
          <w:pPr>
            <w:pStyle w:val="Bibliography"/>
            <w:ind w:left="720" w:hanging="720"/>
            <w:rPr>
              <w:noProof/>
            </w:rPr>
          </w:pPr>
          <w:r>
            <w:rPr>
              <w:noProof/>
            </w:rPr>
            <w:t xml:space="preserve">Voorhoeve, Alex, and Marc Fleurbaey. 2016. “Priority or Equality for Possible People?” </w:t>
          </w:r>
          <w:r>
            <w:rPr>
              <w:i/>
              <w:iCs/>
              <w:noProof/>
            </w:rPr>
            <w:t>Ethics</w:t>
          </w:r>
          <w:r>
            <w:rPr>
              <w:noProof/>
            </w:rPr>
            <w:t xml:space="preserve"> 126 : 929–954.</w:t>
          </w:r>
        </w:p>
        <w:p w14:paraId="009B0987" w14:textId="77777777" w:rsidR="00122864" w:rsidRDefault="00122864" w:rsidP="00122864">
          <w:pPr>
            <w:pStyle w:val="Bibliography"/>
            <w:ind w:left="720" w:hanging="720"/>
            <w:rPr>
              <w:noProof/>
            </w:rPr>
          </w:pPr>
          <w:r>
            <w:rPr>
              <w:noProof/>
            </w:rPr>
            <w:t xml:space="preserve">Yalcin, Seth. 2015. “Epistemic Modality De Re.” </w:t>
          </w:r>
          <w:r>
            <w:rPr>
              <w:i/>
              <w:iCs/>
              <w:noProof/>
            </w:rPr>
            <w:t>Ergo</w:t>
          </w:r>
          <w:r>
            <w:rPr>
              <w:noProof/>
            </w:rPr>
            <w:t xml:space="preserve"> 2: 475-527.</w:t>
          </w:r>
        </w:p>
        <w:p w14:paraId="690F4036" w14:textId="0E58782B" w:rsidR="007A2A57" w:rsidRDefault="007A2A57" w:rsidP="00122864">
          <w:r>
            <w:rPr>
              <w:b/>
              <w:bCs/>
            </w:rPr>
            <w:fldChar w:fldCharType="end"/>
          </w:r>
        </w:p>
      </w:sdtContent>
    </w:sdt>
    <w:p w14:paraId="6B80CEEF" w14:textId="6B3F57FD" w:rsidR="009260F8" w:rsidRDefault="009260F8" w:rsidP="007A2A57"/>
    <w:p w14:paraId="68EC9B75" w14:textId="77777777" w:rsidR="00BC4B2D" w:rsidRDefault="00BC4B2D" w:rsidP="001859AE">
      <w:pPr>
        <w:jc w:val="both"/>
        <w:rPr>
          <w:rFonts w:cs="Times New Roman"/>
        </w:rPr>
      </w:pPr>
    </w:p>
    <w:sectPr w:rsidR="00BC4B2D">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7A262B" w14:textId="77777777" w:rsidR="00CE7B57" w:rsidRDefault="00CE7B57" w:rsidP="005A3036">
      <w:pPr>
        <w:spacing w:after="0" w:line="240" w:lineRule="auto"/>
      </w:pPr>
      <w:r>
        <w:separator/>
      </w:r>
    </w:p>
  </w:endnote>
  <w:endnote w:type="continuationSeparator" w:id="0">
    <w:p w14:paraId="52368F38" w14:textId="77777777" w:rsidR="00CE7B57" w:rsidRDefault="00CE7B57" w:rsidP="005A3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5137275"/>
      <w:docPartObj>
        <w:docPartGallery w:val="Page Numbers (Bottom of Page)"/>
        <w:docPartUnique/>
      </w:docPartObj>
    </w:sdtPr>
    <w:sdtEndPr>
      <w:rPr>
        <w:noProof/>
      </w:rPr>
    </w:sdtEndPr>
    <w:sdtContent>
      <w:p w14:paraId="0A5284BB" w14:textId="3331D8D5" w:rsidR="00D620CE" w:rsidRDefault="00D620CE">
        <w:pPr>
          <w:pStyle w:val="Footer"/>
          <w:jc w:val="right"/>
        </w:pPr>
        <w:r>
          <w:fldChar w:fldCharType="begin"/>
        </w:r>
        <w:r>
          <w:instrText xml:space="preserve"> PAGE   \* MERGEFORMAT </w:instrText>
        </w:r>
        <w:r>
          <w:fldChar w:fldCharType="separate"/>
        </w:r>
        <w:r>
          <w:rPr>
            <w:noProof/>
          </w:rPr>
          <w:t>26</w:t>
        </w:r>
        <w:r>
          <w:rPr>
            <w:noProof/>
          </w:rPr>
          <w:fldChar w:fldCharType="end"/>
        </w:r>
      </w:p>
    </w:sdtContent>
  </w:sdt>
  <w:p w14:paraId="3E5787A1" w14:textId="77777777" w:rsidR="00D620CE" w:rsidRDefault="00D620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CF0515" w14:textId="77777777" w:rsidR="00CE7B57" w:rsidRDefault="00CE7B57" w:rsidP="005A3036">
      <w:pPr>
        <w:spacing w:after="0" w:line="240" w:lineRule="auto"/>
      </w:pPr>
      <w:r>
        <w:separator/>
      </w:r>
    </w:p>
  </w:footnote>
  <w:footnote w:type="continuationSeparator" w:id="0">
    <w:p w14:paraId="480ACB0C" w14:textId="77777777" w:rsidR="00CE7B57" w:rsidRDefault="00CE7B57" w:rsidP="005A3036">
      <w:pPr>
        <w:spacing w:after="0" w:line="240" w:lineRule="auto"/>
      </w:pPr>
      <w:r>
        <w:continuationSeparator/>
      </w:r>
    </w:p>
  </w:footnote>
  <w:footnote w:id="1">
    <w:p w14:paraId="595B7EAB" w14:textId="4D589283" w:rsidR="00D620CE" w:rsidRPr="00BE0386" w:rsidRDefault="00D620CE">
      <w:pPr>
        <w:pStyle w:val="FootnoteText"/>
      </w:pPr>
      <w:r w:rsidRPr="00BE0386">
        <w:rPr>
          <w:sz w:val="22"/>
          <w:szCs w:val="22"/>
          <w:vertAlign w:val="superscript"/>
        </w:rPr>
        <w:footnoteRef/>
      </w:r>
      <w:r w:rsidRPr="00BE0386">
        <w:rPr>
          <w:sz w:val="22"/>
          <w:szCs w:val="22"/>
          <w:vertAlign w:val="superscript"/>
        </w:rPr>
        <w:t xml:space="preserve"> </w:t>
      </w:r>
      <w:r w:rsidRPr="00BE0386">
        <w:rPr>
          <w:sz w:val="22"/>
          <w:szCs w:val="22"/>
        </w:rPr>
        <w:t xml:space="preserve">Or subjective probabilities, where these are the probabilities that a </w:t>
      </w:r>
      <w:r w:rsidRPr="00BE0386">
        <w:rPr>
          <w:i/>
          <w:iCs/>
          <w:sz w:val="22"/>
          <w:szCs w:val="22"/>
        </w:rPr>
        <w:t>rational</w:t>
      </w:r>
      <w:r w:rsidRPr="00BE0386">
        <w:rPr>
          <w:sz w:val="22"/>
          <w:szCs w:val="22"/>
        </w:rPr>
        <w:t xml:space="preserve"> agent would have given the decision maker’s total evidence.</w:t>
      </w:r>
      <w:r>
        <w:t xml:space="preserve"> </w:t>
      </w:r>
    </w:p>
  </w:footnote>
  <w:footnote w:id="2">
    <w:p w14:paraId="32F8D77F" w14:textId="69D18A3B" w:rsidR="00D620CE" w:rsidRPr="000E0EFB" w:rsidRDefault="00D620CE" w:rsidP="000E0EFB">
      <w:pPr>
        <w:pStyle w:val="FootnoteText"/>
        <w:spacing w:line="360" w:lineRule="auto"/>
        <w:jc w:val="both"/>
        <w:rPr>
          <w:sz w:val="22"/>
          <w:szCs w:val="22"/>
        </w:rPr>
      </w:pPr>
      <w:r w:rsidRPr="000E0EFB">
        <w:rPr>
          <w:rStyle w:val="FootnoteReference"/>
          <w:sz w:val="22"/>
          <w:szCs w:val="22"/>
        </w:rPr>
        <w:footnoteRef/>
      </w:r>
      <w:r w:rsidRPr="000E0EFB">
        <w:rPr>
          <w:sz w:val="22"/>
          <w:szCs w:val="22"/>
        </w:rPr>
        <w:t xml:space="preserve"> There are those who deny this</w:t>
      </w:r>
      <w:r>
        <w:rPr>
          <w:sz w:val="22"/>
          <w:szCs w:val="22"/>
        </w:rPr>
        <w:t xml:space="preserve">. </w:t>
      </w:r>
      <w:r w:rsidRPr="000E0EFB">
        <w:rPr>
          <w:sz w:val="22"/>
          <w:szCs w:val="22"/>
        </w:rPr>
        <w:t xml:space="preserve">E.g. on Nathan Salmon’s view </w:t>
      </w:r>
      <w:sdt>
        <w:sdtPr>
          <w:rPr>
            <w:sz w:val="22"/>
            <w:szCs w:val="22"/>
          </w:rPr>
          <w:id w:val="342288097"/>
          <w:citation/>
        </w:sdtPr>
        <w:sdtEndPr/>
        <w:sdtContent>
          <w:r w:rsidRPr="000E0EFB">
            <w:rPr>
              <w:sz w:val="22"/>
              <w:szCs w:val="22"/>
            </w:rPr>
            <w:fldChar w:fldCharType="begin"/>
          </w:r>
          <w:r w:rsidRPr="000E0EFB">
            <w:rPr>
              <w:sz w:val="22"/>
              <w:szCs w:val="22"/>
            </w:rPr>
            <w:instrText xml:space="preserve"> CITATION Sal891 \l 2057 </w:instrText>
          </w:r>
          <w:r w:rsidRPr="000E0EFB">
            <w:rPr>
              <w:sz w:val="22"/>
              <w:szCs w:val="22"/>
            </w:rPr>
            <w:fldChar w:fldCharType="separate"/>
          </w:r>
          <w:r w:rsidR="00122864" w:rsidRPr="00122864">
            <w:rPr>
              <w:noProof/>
              <w:sz w:val="22"/>
              <w:szCs w:val="22"/>
            </w:rPr>
            <w:t>(Salmon 1989)</w:t>
          </w:r>
          <w:r w:rsidRPr="000E0EFB">
            <w:rPr>
              <w:sz w:val="22"/>
              <w:szCs w:val="22"/>
            </w:rPr>
            <w:fldChar w:fldCharType="end"/>
          </w:r>
        </w:sdtContent>
      </w:sdt>
      <w:r w:rsidRPr="000E0EFB">
        <w:rPr>
          <w:sz w:val="22"/>
          <w:szCs w:val="22"/>
        </w:rPr>
        <w:t xml:space="preserve"> if Penelope believes that Hesperus is over there, then she also believes that Phosphorus is over there</w:t>
      </w:r>
      <w:r>
        <w:rPr>
          <w:sz w:val="22"/>
          <w:szCs w:val="22"/>
        </w:rPr>
        <w:t xml:space="preserve">, and perhaps we </w:t>
      </w:r>
      <w:r w:rsidRPr="000E0EFB">
        <w:rPr>
          <w:sz w:val="22"/>
          <w:szCs w:val="22"/>
        </w:rPr>
        <w:t xml:space="preserve">could create an analogous account for credence </w:t>
      </w:r>
      <w:sdt>
        <w:sdtPr>
          <w:rPr>
            <w:sz w:val="22"/>
            <w:szCs w:val="22"/>
          </w:rPr>
          <w:id w:val="-1103412243"/>
          <w:citation/>
        </w:sdtPr>
        <w:sdtEndPr/>
        <w:sdtContent>
          <w:r w:rsidRPr="000E0EFB">
            <w:rPr>
              <w:sz w:val="22"/>
              <w:szCs w:val="22"/>
            </w:rPr>
            <w:fldChar w:fldCharType="begin"/>
          </w:r>
          <w:r w:rsidRPr="000E0EFB">
            <w:rPr>
              <w:b/>
              <w:bCs/>
              <w:sz w:val="22"/>
              <w:szCs w:val="22"/>
            </w:rPr>
            <w:instrText xml:space="preserve">CITATION Brang2 \l 2057 </w:instrText>
          </w:r>
          <w:r w:rsidRPr="000E0EFB">
            <w:rPr>
              <w:sz w:val="22"/>
              <w:szCs w:val="22"/>
            </w:rPr>
            <w:fldChar w:fldCharType="separate"/>
          </w:r>
          <w:r w:rsidR="00122864" w:rsidRPr="00122864">
            <w:rPr>
              <w:noProof/>
              <w:sz w:val="22"/>
              <w:szCs w:val="22"/>
            </w:rPr>
            <w:t>(Braun 2016)</w:t>
          </w:r>
          <w:r w:rsidRPr="000E0EFB">
            <w:rPr>
              <w:sz w:val="22"/>
              <w:szCs w:val="22"/>
            </w:rPr>
            <w:fldChar w:fldCharType="end"/>
          </w:r>
        </w:sdtContent>
      </w:sdt>
      <w:r w:rsidRPr="000E0EFB">
        <w:rPr>
          <w:sz w:val="22"/>
          <w:szCs w:val="22"/>
        </w:rPr>
        <w:t xml:space="preserve">. </w:t>
      </w:r>
      <w:r>
        <w:rPr>
          <w:sz w:val="22"/>
          <w:szCs w:val="22"/>
        </w:rPr>
        <w:t xml:space="preserve">My argument here does not apply directly on such a view, but I think an alternative version – focused on the analogue of the three-place BEL relation – could be constructed. </w:t>
      </w:r>
    </w:p>
  </w:footnote>
  <w:footnote w:id="3">
    <w:p w14:paraId="5F00DD06" w14:textId="2ABE2102" w:rsidR="00D620CE" w:rsidRPr="000E0EFB" w:rsidRDefault="00D620CE" w:rsidP="000E0EFB">
      <w:pPr>
        <w:pStyle w:val="FootnoteText"/>
        <w:spacing w:line="360" w:lineRule="auto"/>
        <w:jc w:val="both"/>
        <w:rPr>
          <w:sz w:val="22"/>
          <w:szCs w:val="22"/>
        </w:rPr>
      </w:pPr>
      <w:r w:rsidRPr="000E0EFB">
        <w:rPr>
          <w:rStyle w:val="FootnoteReference"/>
          <w:sz w:val="22"/>
          <w:szCs w:val="22"/>
        </w:rPr>
        <w:footnoteRef/>
      </w:r>
      <w:r w:rsidRPr="000E0EFB">
        <w:rPr>
          <w:sz w:val="22"/>
          <w:szCs w:val="22"/>
        </w:rPr>
        <w:t xml:space="preserve"> </w:t>
      </w:r>
      <w:r>
        <w:rPr>
          <w:sz w:val="22"/>
          <w:szCs w:val="22"/>
        </w:rPr>
        <w:t>I</w:t>
      </w:r>
      <w:r w:rsidRPr="000E0EFB">
        <w:rPr>
          <w:sz w:val="22"/>
          <w:szCs w:val="22"/>
        </w:rPr>
        <w:t xml:space="preserve">t is really </w:t>
      </w:r>
      <w:r w:rsidRPr="00D03F5F">
        <w:rPr>
          <w:i/>
          <w:iCs/>
          <w:sz w:val="22"/>
          <w:szCs w:val="22"/>
        </w:rPr>
        <w:t>people under designators</w:t>
      </w:r>
      <w:r w:rsidRPr="000E0EFB">
        <w:rPr>
          <w:sz w:val="22"/>
          <w:szCs w:val="22"/>
        </w:rPr>
        <w:t xml:space="preserve"> that have prospects</w:t>
      </w:r>
      <w:r>
        <w:rPr>
          <w:sz w:val="22"/>
          <w:szCs w:val="22"/>
        </w:rPr>
        <w:t>: I</w:t>
      </w:r>
      <w:r w:rsidRPr="000E0EFB">
        <w:rPr>
          <w:sz w:val="22"/>
          <w:szCs w:val="22"/>
        </w:rPr>
        <w:t xml:space="preserve"> write of designators having prospects as a shorthand. </w:t>
      </w:r>
    </w:p>
  </w:footnote>
  <w:footnote w:id="4">
    <w:p w14:paraId="00D4C8EE" w14:textId="56001085" w:rsidR="00D620CE" w:rsidRPr="000E0EFB" w:rsidRDefault="00D620CE" w:rsidP="000E0EFB">
      <w:pPr>
        <w:pStyle w:val="FootnoteText"/>
        <w:spacing w:line="360" w:lineRule="auto"/>
        <w:rPr>
          <w:sz w:val="22"/>
          <w:szCs w:val="22"/>
        </w:rPr>
      </w:pPr>
      <w:r w:rsidRPr="000E0EFB">
        <w:rPr>
          <w:rStyle w:val="FootnoteReference"/>
          <w:sz w:val="22"/>
          <w:szCs w:val="22"/>
        </w:rPr>
        <w:footnoteRef/>
      </w:r>
      <w:r w:rsidRPr="000E0EFB">
        <w:rPr>
          <w:sz w:val="22"/>
          <w:szCs w:val="22"/>
        </w:rPr>
        <w:t xml:space="preserve"> See Gareth Evans on ‘Julius, the inventor of the zip’ </w:t>
      </w:r>
      <w:sdt>
        <w:sdtPr>
          <w:rPr>
            <w:sz w:val="22"/>
            <w:szCs w:val="22"/>
          </w:rPr>
          <w:id w:val="932789962"/>
          <w:citation/>
        </w:sdtPr>
        <w:sdtEndPr/>
        <w:sdtContent>
          <w:r w:rsidRPr="000E0EFB">
            <w:rPr>
              <w:sz w:val="22"/>
              <w:szCs w:val="22"/>
            </w:rPr>
            <w:fldChar w:fldCharType="begin"/>
          </w:r>
          <w:r w:rsidRPr="000E0EFB">
            <w:rPr>
              <w:sz w:val="22"/>
              <w:szCs w:val="22"/>
            </w:rPr>
            <w:instrText xml:space="preserve">CITATION Eva821 \l 2057 </w:instrText>
          </w:r>
          <w:r w:rsidRPr="000E0EFB">
            <w:rPr>
              <w:sz w:val="22"/>
              <w:szCs w:val="22"/>
            </w:rPr>
            <w:fldChar w:fldCharType="separate"/>
          </w:r>
          <w:r w:rsidR="00122864" w:rsidRPr="00122864">
            <w:rPr>
              <w:noProof/>
              <w:sz w:val="22"/>
              <w:szCs w:val="22"/>
            </w:rPr>
            <w:t>(Evans, The Varieties of Reference 1982)</w:t>
          </w:r>
          <w:r w:rsidRPr="000E0EFB">
            <w:rPr>
              <w:sz w:val="22"/>
              <w:szCs w:val="22"/>
            </w:rPr>
            <w:fldChar w:fldCharType="end"/>
          </w:r>
        </w:sdtContent>
      </w:sdt>
      <w:r w:rsidRPr="000E0EFB">
        <w:rPr>
          <w:sz w:val="22"/>
          <w:szCs w:val="22"/>
        </w:rPr>
        <w:t>.</w:t>
      </w:r>
    </w:p>
  </w:footnote>
  <w:footnote w:id="5">
    <w:p w14:paraId="73541F83" w14:textId="34615E66" w:rsidR="00D620CE" w:rsidRPr="00C549B2" w:rsidRDefault="00D620CE" w:rsidP="00C549B2">
      <w:pPr>
        <w:pStyle w:val="FootnoteText"/>
        <w:spacing w:line="360" w:lineRule="auto"/>
        <w:rPr>
          <w:sz w:val="22"/>
          <w:szCs w:val="22"/>
        </w:rPr>
      </w:pPr>
      <w:r w:rsidRPr="00C549B2">
        <w:rPr>
          <w:rStyle w:val="FootnoteReference"/>
          <w:sz w:val="22"/>
          <w:szCs w:val="22"/>
        </w:rPr>
        <w:footnoteRef/>
      </w:r>
      <w:r w:rsidRPr="00C549B2">
        <w:rPr>
          <w:sz w:val="22"/>
          <w:szCs w:val="22"/>
        </w:rPr>
        <w:t xml:space="preserve"> It can help here to remember that the coin has already been tossed. </w:t>
      </w:r>
    </w:p>
  </w:footnote>
  <w:footnote w:id="6">
    <w:p w14:paraId="6F3C59B1" w14:textId="6B05164A" w:rsidR="00D620CE" w:rsidRPr="00C549B2" w:rsidRDefault="00D620CE" w:rsidP="0010535B">
      <w:pPr>
        <w:pStyle w:val="FootnoteText"/>
        <w:spacing w:line="360" w:lineRule="auto"/>
        <w:jc w:val="both"/>
      </w:pPr>
      <w:bookmarkStart w:id="2" w:name="_Hlk47081343"/>
      <w:r w:rsidRPr="00C549B2">
        <w:rPr>
          <w:rStyle w:val="FootnoteReference"/>
          <w:sz w:val="22"/>
          <w:szCs w:val="22"/>
        </w:rPr>
        <w:footnoteRef/>
      </w:r>
      <w:r w:rsidRPr="00C549B2">
        <w:rPr>
          <w:sz w:val="22"/>
          <w:szCs w:val="22"/>
        </w:rPr>
        <w:t xml:space="preserve"> </w:t>
      </w:r>
      <w:bookmarkStart w:id="3" w:name="_Hlk47081530"/>
      <w:r w:rsidRPr="00C549B2">
        <w:rPr>
          <w:sz w:val="22"/>
          <w:szCs w:val="22"/>
        </w:rPr>
        <w:t xml:space="preserve">How about a reading on which </w:t>
      </w:r>
      <w:r w:rsidR="0010535B">
        <w:rPr>
          <w:sz w:val="22"/>
          <w:szCs w:val="22"/>
        </w:rPr>
        <w:t xml:space="preserve">when applying the </w:t>
      </w:r>
      <w:r w:rsidR="0010535B">
        <w:rPr>
          <w:i/>
          <w:iCs/>
          <w:sz w:val="22"/>
          <w:szCs w:val="22"/>
        </w:rPr>
        <w:t xml:space="preserve">ex ante </w:t>
      </w:r>
      <w:r w:rsidR="0010535B">
        <w:rPr>
          <w:sz w:val="22"/>
          <w:szCs w:val="22"/>
        </w:rPr>
        <w:t xml:space="preserve">pareto principle </w:t>
      </w:r>
      <w:r w:rsidRPr="00C549B2">
        <w:rPr>
          <w:sz w:val="22"/>
          <w:szCs w:val="22"/>
        </w:rPr>
        <w:t xml:space="preserve">the relevant set of designators is the </w:t>
      </w:r>
      <w:r w:rsidR="0010535B">
        <w:rPr>
          <w:sz w:val="22"/>
          <w:szCs w:val="22"/>
        </w:rPr>
        <w:t xml:space="preserve">admissible </w:t>
      </w:r>
      <w:r w:rsidRPr="00C549B2">
        <w:rPr>
          <w:sz w:val="22"/>
          <w:szCs w:val="22"/>
        </w:rPr>
        <w:t xml:space="preserve">set of designators for which the decision-maker has the largest dossiers? There are some technical challenges for this suggestion: there is a question over how we measure the size of a dossier; a further question over how we aggregate the dossier sizes for each designator to give us a ranking of </w:t>
      </w:r>
      <w:r w:rsidR="0010535B">
        <w:rPr>
          <w:sz w:val="22"/>
          <w:szCs w:val="22"/>
        </w:rPr>
        <w:t xml:space="preserve">admissible </w:t>
      </w:r>
      <w:r w:rsidRPr="00C549B2">
        <w:rPr>
          <w:sz w:val="22"/>
          <w:szCs w:val="22"/>
        </w:rPr>
        <w:t xml:space="preserve">sets of designators (because there is no guarantee that the designators with the largest dossiers will all fall within a single admissible set); and </w:t>
      </w:r>
      <w:r w:rsidR="0010535B">
        <w:rPr>
          <w:sz w:val="22"/>
          <w:szCs w:val="22"/>
        </w:rPr>
        <w:t xml:space="preserve">a question over what happens should </w:t>
      </w:r>
      <w:r w:rsidRPr="00C549B2">
        <w:rPr>
          <w:sz w:val="22"/>
          <w:szCs w:val="22"/>
        </w:rPr>
        <w:t xml:space="preserve">two rival admissible sets of dossiers both come at the top of this ranking. But a more fundamental problem is that on this reading the commands of the </w:t>
      </w:r>
      <w:r w:rsidRPr="00C549B2">
        <w:rPr>
          <w:i/>
          <w:iCs/>
          <w:sz w:val="22"/>
          <w:szCs w:val="22"/>
        </w:rPr>
        <w:t>ex ante</w:t>
      </w:r>
      <w:r w:rsidRPr="00C549B2">
        <w:rPr>
          <w:sz w:val="22"/>
          <w:szCs w:val="22"/>
        </w:rPr>
        <w:t xml:space="preserve"> pareto principle become capricious</w:t>
      </w:r>
      <w:r w:rsidR="00C549B2" w:rsidRPr="00C549B2">
        <w:rPr>
          <w:sz w:val="22"/>
          <w:szCs w:val="22"/>
        </w:rPr>
        <w:t xml:space="preserve"> (and open to manipulation)</w:t>
      </w:r>
      <w:r w:rsidRPr="00C549B2">
        <w:rPr>
          <w:sz w:val="22"/>
          <w:szCs w:val="22"/>
        </w:rPr>
        <w:t>. The principle might require a decision maker not to select a particular policy</w:t>
      </w:r>
      <w:r w:rsidR="00C549B2" w:rsidRPr="00C549B2">
        <w:rPr>
          <w:sz w:val="22"/>
          <w:szCs w:val="22"/>
        </w:rPr>
        <w:t xml:space="preserve"> P</w:t>
      </w:r>
      <w:r w:rsidR="0010535B">
        <w:rPr>
          <w:sz w:val="22"/>
          <w:szCs w:val="22"/>
        </w:rPr>
        <w:t xml:space="preserve"> –</w:t>
      </w:r>
      <w:r w:rsidRPr="00C549B2">
        <w:rPr>
          <w:sz w:val="22"/>
          <w:szCs w:val="22"/>
        </w:rPr>
        <w:t xml:space="preserve"> but should the decision maker come to learn some irrelevant and frivolous fact about an individual concerned (under some designator), th</w:t>
      </w:r>
      <w:r w:rsidR="00C549B2" w:rsidRPr="00C549B2">
        <w:rPr>
          <w:sz w:val="22"/>
          <w:szCs w:val="22"/>
        </w:rPr>
        <w:t xml:space="preserve">en the relevant set of designators may shift and </w:t>
      </w:r>
      <w:r w:rsidRPr="00C549B2">
        <w:rPr>
          <w:sz w:val="22"/>
          <w:szCs w:val="22"/>
        </w:rPr>
        <w:t xml:space="preserve">that policy </w:t>
      </w:r>
      <w:r w:rsidR="00C549B2" w:rsidRPr="00C549B2">
        <w:rPr>
          <w:sz w:val="22"/>
          <w:szCs w:val="22"/>
        </w:rPr>
        <w:t xml:space="preserve">P </w:t>
      </w:r>
      <w:r w:rsidRPr="00C549B2">
        <w:rPr>
          <w:sz w:val="22"/>
          <w:szCs w:val="22"/>
        </w:rPr>
        <w:t xml:space="preserve">may no longer be debarred. </w:t>
      </w:r>
      <w:r w:rsidR="00C549B2">
        <w:rPr>
          <w:sz w:val="22"/>
          <w:szCs w:val="22"/>
        </w:rPr>
        <w:t>Under this reading the</w:t>
      </w:r>
      <w:r w:rsidR="0010535B">
        <w:rPr>
          <w:sz w:val="22"/>
          <w:szCs w:val="22"/>
        </w:rPr>
        <w:t xml:space="preserve"> principle is hardly worthy of the weighty role that it has played in the literature, and can be rejected as unpersuasive. </w:t>
      </w:r>
      <w:r w:rsidR="00C549B2" w:rsidRPr="00C549B2">
        <w:rPr>
          <w:sz w:val="22"/>
          <w:szCs w:val="22"/>
        </w:rPr>
        <w:t>Many thanks to an anonymous reviewer for alerting me to this possible reading.</w:t>
      </w:r>
      <w:r w:rsidR="00C549B2">
        <w:t xml:space="preserve"> </w:t>
      </w:r>
      <w:bookmarkEnd w:id="2"/>
    </w:p>
    <w:bookmarkEnd w:id="3"/>
  </w:footnote>
  <w:footnote w:id="7">
    <w:p w14:paraId="2239434C" w14:textId="198D9826" w:rsidR="00D620CE" w:rsidRPr="000E0EFB" w:rsidRDefault="00D620CE" w:rsidP="000E0EFB">
      <w:pPr>
        <w:pStyle w:val="FootnoteText"/>
        <w:spacing w:line="360" w:lineRule="auto"/>
        <w:rPr>
          <w:sz w:val="22"/>
          <w:szCs w:val="22"/>
        </w:rPr>
      </w:pPr>
      <w:r w:rsidRPr="000E0EFB">
        <w:rPr>
          <w:rStyle w:val="FootnoteReference"/>
          <w:sz w:val="22"/>
          <w:szCs w:val="22"/>
        </w:rPr>
        <w:footnoteRef/>
      </w:r>
      <w:r w:rsidRPr="000E0EFB">
        <w:rPr>
          <w:sz w:val="22"/>
          <w:szCs w:val="22"/>
        </w:rPr>
        <w:t xml:space="preserve"> If we can, I think they might be what Russell called ‘logically proper names’ </w:t>
      </w:r>
      <w:sdt>
        <w:sdtPr>
          <w:rPr>
            <w:sz w:val="22"/>
            <w:szCs w:val="22"/>
          </w:rPr>
          <w:id w:val="-1899200745"/>
          <w:citation/>
        </w:sdtPr>
        <w:sdtEndPr/>
        <w:sdtContent>
          <w:r w:rsidRPr="000E0EFB">
            <w:rPr>
              <w:sz w:val="22"/>
              <w:szCs w:val="22"/>
            </w:rPr>
            <w:fldChar w:fldCharType="begin"/>
          </w:r>
          <w:r w:rsidRPr="000E0EFB">
            <w:rPr>
              <w:sz w:val="22"/>
              <w:szCs w:val="22"/>
            </w:rPr>
            <w:instrText xml:space="preserve"> CITATION Rus12 \l 2057 </w:instrText>
          </w:r>
          <w:r w:rsidRPr="000E0EFB">
            <w:rPr>
              <w:sz w:val="22"/>
              <w:szCs w:val="22"/>
            </w:rPr>
            <w:fldChar w:fldCharType="separate"/>
          </w:r>
          <w:r w:rsidR="00122864" w:rsidRPr="00122864">
            <w:rPr>
              <w:noProof/>
              <w:sz w:val="22"/>
              <w:szCs w:val="22"/>
            </w:rPr>
            <w:t>(Russell 1912)</w:t>
          </w:r>
          <w:r w:rsidRPr="000E0EFB">
            <w:rPr>
              <w:sz w:val="22"/>
              <w:szCs w:val="22"/>
            </w:rPr>
            <w:fldChar w:fldCharType="end"/>
          </w:r>
        </w:sdtContent>
      </w:sdt>
      <w:r w:rsidRPr="000E0EFB">
        <w:rPr>
          <w:sz w:val="22"/>
          <w:szCs w:val="22"/>
        </w:rPr>
        <w:t>.</w:t>
      </w:r>
    </w:p>
  </w:footnote>
  <w:footnote w:id="8">
    <w:p w14:paraId="4D0EBCDA" w14:textId="7900E91E" w:rsidR="00D620CE" w:rsidRPr="00C549B2" w:rsidRDefault="00D620CE" w:rsidP="00C549B2">
      <w:pPr>
        <w:pStyle w:val="FootnoteText"/>
        <w:spacing w:line="360" w:lineRule="auto"/>
        <w:rPr>
          <w:sz w:val="22"/>
          <w:szCs w:val="22"/>
        </w:rPr>
      </w:pPr>
      <w:r w:rsidRPr="00C549B2">
        <w:rPr>
          <w:rStyle w:val="FootnoteReference"/>
          <w:sz w:val="22"/>
          <w:szCs w:val="22"/>
        </w:rPr>
        <w:footnoteRef/>
      </w:r>
      <w:r w:rsidRPr="00C549B2">
        <w:rPr>
          <w:sz w:val="22"/>
          <w:szCs w:val="22"/>
        </w:rPr>
        <w:t xml:space="preserve"> There are some interesting relations between this line of thinking and the work of several recent philosophers of language on epistemic modality </w:t>
      </w:r>
      <w:sdt>
        <w:sdtPr>
          <w:rPr>
            <w:sz w:val="22"/>
            <w:szCs w:val="22"/>
          </w:rPr>
          <w:id w:val="972566338"/>
          <w:citation/>
        </w:sdtPr>
        <w:sdtEndPr/>
        <w:sdtContent>
          <w:r w:rsidRPr="00C549B2">
            <w:rPr>
              <w:sz w:val="22"/>
              <w:szCs w:val="22"/>
            </w:rPr>
            <w:fldChar w:fldCharType="begin"/>
          </w:r>
          <w:r w:rsidRPr="00C549B2">
            <w:rPr>
              <w:sz w:val="22"/>
              <w:szCs w:val="22"/>
            </w:rPr>
            <w:instrText xml:space="preserve"> CITATION Nin18 \l 2057  \m Yal15</w:instrText>
          </w:r>
          <w:r w:rsidRPr="00C549B2">
            <w:rPr>
              <w:sz w:val="22"/>
              <w:szCs w:val="22"/>
            </w:rPr>
            <w:fldChar w:fldCharType="separate"/>
          </w:r>
          <w:r w:rsidR="00122864" w:rsidRPr="00122864">
            <w:rPr>
              <w:noProof/>
              <w:sz w:val="22"/>
              <w:szCs w:val="22"/>
            </w:rPr>
            <w:t>(Ninan 2018, Yalcin 2015)</w:t>
          </w:r>
          <w:r w:rsidRPr="00C549B2">
            <w:rPr>
              <w:sz w:val="22"/>
              <w:szCs w:val="22"/>
            </w:rPr>
            <w:fldChar w:fldCharType="end"/>
          </w:r>
        </w:sdtContent>
      </w:sdt>
      <w:r w:rsidRPr="00C549B2">
        <w:rPr>
          <w:sz w:val="22"/>
          <w:szCs w:val="22"/>
        </w:rPr>
        <w:t>.</w:t>
      </w:r>
    </w:p>
  </w:footnote>
  <w:footnote w:id="9">
    <w:p w14:paraId="1BD2C331" w14:textId="18660B1F" w:rsidR="00553E26" w:rsidRPr="00D94F74" w:rsidRDefault="00553E26" w:rsidP="00D94F74">
      <w:pPr>
        <w:pStyle w:val="FootnoteText"/>
        <w:spacing w:line="360" w:lineRule="auto"/>
        <w:rPr>
          <w:sz w:val="22"/>
          <w:szCs w:val="22"/>
        </w:rPr>
      </w:pPr>
      <w:r w:rsidRPr="00D94F74">
        <w:rPr>
          <w:rStyle w:val="FootnoteReference"/>
          <w:sz w:val="22"/>
          <w:szCs w:val="22"/>
        </w:rPr>
        <w:footnoteRef/>
      </w:r>
      <w:r w:rsidRPr="00D94F74">
        <w:rPr>
          <w:sz w:val="22"/>
          <w:szCs w:val="22"/>
        </w:rPr>
        <w:t xml:space="preserve"> There may well be situations in which there are an </w:t>
      </w:r>
      <w:r w:rsidRPr="00122864">
        <w:rPr>
          <w:i/>
          <w:iCs/>
          <w:sz w:val="22"/>
          <w:szCs w:val="22"/>
        </w:rPr>
        <w:t>infinite</w:t>
      </w:r>
      <w:r w:rsidRPr="00D94F74">
        <w:rPr>
          <w:sz w:val="22"/>
          <w:szCs w:val="22"/>
        </w:rPr>
        <w:t xml:space="preserve"> number of admissible sets of designators: the subvaluationist and supervaluationist readings can still apply in this case, just as subvaluationist and supervaluationist accounts of vagueness can apply even under the assumption that the number of admissible precisifications is infinite. </w:t>
      </w:r>
    </w:p>
  </w:footnote>
  <w:footnote w:id="10">
    <w:p w14:paraId="22C6B2C8" w14:textId="05544985" w:rsidR="00D620CE" w:rsidRPr="000E0EFB" w:rsidRDefault="00D620CE" w:rsidP="000E0EFB">
      <w:pPr>
        <w:pStyle w:val="FootnoteText"/>
        <w:spacing w:line="360" w:lineRule="auto"/>
        <w:jc w:val="both"/>
        <w:rPr>
          <w:sz w:val="22"/>
          <w:szCs w:val="22"/>
        </w:rPr>
      </w:pPr>
      <w:r w:rsidRPr="000E0EFB">
        <w:rPr>
          <w:rStyle w:val="FootnoteReference"/>
          <w:sz w:val="22"/>
          <w:szCs w:val="22"/>
        </w:rPr>
        <w:footnoteRef/>
      </w:r>
      <w:r w:rsidRPr="000E0EFB">
        <w:rPr>
          <w:sz w:val="22"/>
          <w:szCs w:val="22"/>
        </w:rPr>
        <w:t xml:space="preserve"> In the example I assume that a dice has been tossed, and it might be thought that there will be plenty of policy situations where no such relevant random event has occurred to give us the necessary partition. In fact in everyday policy situations a partition fulfilling conditions 1-3 is bound to be available. One rich source of useful partitions involve</w:t>
      </w:r>
      <w:r>
        <w:rPr>
          <w:sz w:val="22"/>
          <w:szCs w:val="22"/>
        </w:rPr>
        <w:t>s</w:t>
      </w:r>
      <w:r w:rsidRPr="000E0EFB">
        <w:rPr>
          <w:sz w:val="22"/>
          <w:szCs w:val="22"/>
        </w:rPr>
        <w:t xml:space="preserve"> claims about the people in the population: in what order did each person cut his or her first tooth? Who is currently positioned the closest to a badger sett?</w:t>
      </w:r>
    </w:p>
    <w:p w14:paraId="79A3D640" w14:textId="42096309" w:rsidR="00D620CE" w:rsidRPr="000E0EFB" w:rsidRDefault="00D620CE" w:rsidP="000E0EFB">
      <w:pPr>
        <w:pStyle w:val="FootnoteText"/>
        <w:spacing w:line="360" w:lineRule="auto"/>
        <w:jc w:val="both"/>
        <w:rPr>
          <w:sz w:val="22"/>
          <w:szCs w:val="22"/>
        </w:rPr>
      </w:pPr>
      <w:r w:rsidRPr="000E0EFB">
        <w:rPr>
          <w:sz w:val="22"/>
          <w:szCs w:val="22"/>
        </w:rPr>
        <w:t xml:space="preserve">It is a challenge to produce a case in which there is no partition available fulfilling conditions 1-3. One such case would be where the decision-maker is omniscient – but of course the concept of </w:t>
      </w:r>
      <w:r w:rsidRPr="000E0EFB">
        <w:rPr>
          <w:i/>
          <w:iCs/>
          <w:sz w:val="22"/>
          <w:szCs w:val="22"/>
        </w:rPr>
        <w:t>ex ante</w:t>
      </w:r>
      <w:r w:rsidRPr="000E0EFB">
        <w:rPr>
          <w:sz w:val="22"/>
          <w:szCs w:val="22"/>
        </w:rPr>
        <w:t xml:space="preserve"> Pareto superiority is not useful in such </w:t>
      </w:r>
      <w:r>
        <w:rPr>
          <w:sz w:val="22"/>
          <w:szCs w:val="22"/>
        </w:rPr>
        <w:t xml:space="preserve">a </w:t>
      </w:r>
      <w:r w:rsidRPr="000E0EFB">
        <w:rPr>
          <w:sz w:val="22"/>
          <w:szCs w:val="22"/>
        </w:rPr>
        <w:t xml:space="preserve">case. Another case is one where the decision-maker is very nearly omniscient: perhaps (s)he is uncertain how a particular coin will land, but has no other uncertainty whatsoever. If his or her policy choice concerns more than two people, then there will be no partition available fulfilling conditions 1-3. These are the sorts of (very unusual) cases where the </w:t>
      </w:r>
      <w:r w:rsidRPr="000E0EFB">
        <w:rPr>
          <w:i/>
          <w:iCs/>
          <w:sz w:val="22"/>
          <w:szCs w:val="22"/>
        </w:rPr>
        <w:t>ex ante</w:t>
      </w:r>
      <w:r w:rsidRPr="000E0EFB">
        <w:rPr>
          <w:sz w:val="22"/>
          <w:szCs w:val="22"/>
        </w:rPr>
        <w:t xml:space="preserve"> Pareto principle</w:t>
      </w:r>
      <w:r w:rsidRPr="000E0EFB">
        <w:rPr>
          <w:sz w:val="22"/>
          <w:szCs w:val="22"/>
          <w:vertAlign w:val="subscript"/>
        </w:rPr>
        <w:t>sub</w:t>
      </w:r>
      <w:r w:rsidRPr="000E0EFB">
        <w:rPr>
          <w:sz w:val="22"/>
          <w:szCs w:val="22"/>
        </w:rPr>
        <w:t xml:space="preserve"> and utilitarianism might give different verdicts, and it is only because of these sorts of cases that I qualify the claim that the </w:t>
      </w:r>
      <w:r w:rsidRPr="000E0EFB">
        <w:rPr>
          <w:i/>
          <w:iCs/>
          <w:sz w:val="22"/>
          <w:szCs w:val="22"/>
        </w:rPr>
        <w:t>ex ante</w:t>
      </w:r>
      <w:r w:rsidRPr="000E0EFB">
        <w:rPr>
          <w:sz w:val="22"/>
          <w:szCs w:val="22"/>
        </w:rPr>
        <w:t xml:space="preserve"> Pareto principle collapses into utilitarianism. </w:t>
      </w:r>
    </w:p>
  </w:footnote>
  <w:footnote w:id="11">
    <w:p w14:paraId="08B3240B" w14:textId="2C083617" w:rsidR="00911C28" w:rsidRPr="00911C28" w:rsidRDefault="00911C28">
      <w:pPr>
        <w:pStyle w:val="FootnoteText"/>
        <w:rPr>
          <w:sz w:val="22"/>
          <w:szCs w:val="22"/>
        </w:rPr>
      </w:pPr>
      <w:r w:rsidRPr="00911C28">
        <w:rPr>
          <w:rStyle w:val="FootnoteReference"/>
          <w:sz w:val="22"/>
          <w:szCs w:val="22"/>
        </w:rPr>
        <w:footnoteRef/>
      </w:r>
      <w:r w:rsidRPr="00911C28">
        <w:rPr>
          <w:sz w:val="22"/>
          <w:szCs w:val="22"/>
        </w:rPr>
        <w:t xml:space="preserve"> See also a recent criticism of egalitarianism in that vein </w:t>
      </w:r>
      <w:sdt>
        <w:sdtPr>
          <w:rPr>
            <w:sz w:val="22"/>
            <w:szCs w:val="22"/>
          </w:rPr>
          <w:id w:val="2083564631"/>
          <w:citation/>
        </w:sdtPr>
        <w:sdtContent>
          <w:r w:rsidRPr="00911C28">
            <w:rPr>
              <w:sz w:val="22"/>
              <w:szCs w:val="22"/>
            </w:rPr>
            <w:fldChar w:fldCharType="begin"/>
          </w:r>
          <w:r w:rsidRPr="00911C28">
            <w:rPr>
              <w:sz w:val="22"/>
              <w:szCs w:val="22"/>
            </w:rPr>
            <w:instrText xml:space="preserve"> CITATION McC15 \l 2057 </w:instrText>
          </w:r>
          <w:r w:rsidRPr="00911C28">
            <w:rPr>
              <w:sz w:val="22"/>
              <w:szCs w:val="22"/>
            </w:rPr>
            <w:fldChar w:fldCharType="separate"/>
          </w:r>
          <w:r w:rsidR="00122864" w:rsidRPr="00122864">
            <w:rPr>
              <w:noProof/>
              <w:sz w:val="22"/>
              <w:szCs w:val="22"/>
            </w:rPr>
            <w:t>(McCarthy 2015)</w:t>
          </w:r>
          <w:r w:rsidRPr="00911C28">
            <w:rPr>
              <w:sz w:val="22"/>
              <w:szCs w:val="22"/>
            </w:rPr>
            <w:fldChar w:fldCharType="end"/>
          </w:r>
        </w:sdtContent>
      </w:sdt>
      <w:r w:rsidRPr="00911C28">
        <w:rPr>
          <w:sz w:val="22"/>
          <w:szCs w:val="22"/>
        </w:rPr>
        <w:t>.</w:t>
      </w:r>
    </w:p>
  </w:footnote>
  <w:footnote w:id="12">
    <w:p w14:paraId="504909E2" w14:textId="413E34DB" w:rsidR="00D620CE" w:rsidRPr="000E0EFB" w:rsidRDefault="00D620CE" w:rsidP="000E0EFB">
      <w:pPr>
        <w:pStyle w:val="FootnoteText"/>
        <w:spacing w:line="360" w:lineRule="auto"/>
        <w:jc w:val="both"/>
        <w:rPr>
          <w:sz w:val="22"/>
          <w:szCs w:val="22"/>
        </w:rPr>
      </w:pPr>
      <w:r w:rsidRPr="000E0EFB">
        <w:rPr>
          <w:rStyle w:val="FootnoteReference"/>
          <w:sz w:val="22"/>
          <w:szCs w:val="22"/>
        </w:rPr>
        <w:footnoteRef/>
      </w:r>
      <w:r w:rsidRPr="000E0EFB">
        <w:rPr>
          <w:sz w:val="22"/>
          <w:szCs w:val="22"/>
        </w:rPr>
        <w:t xml:space="preserve"> </w:t>
      </w:r>
      <w:r>
        <w:rPr>
          <w:sz w:val="22"/>
          <w:szCs w:val="22"/>
        </w:rPr>
        <w:t xml:space="preserve">This follows provided that there is at least one </w:t>
      </w:r>
      <w:r w:rsidRPr="000E0EFB">
        <w:rPr>
          <w:sz w:val="22"/>
          <w:szCs w:val="22"/>
        </w:rPr>
        <w:t>set of admissible designators</w:t>
      </w:r>
      <w:r>
        <w:rPr>
          <w:sz w:val="22"/>
          <w:szCs w:val="22"/>
        </w:rPr>
        <w:t>.</w:t>
      </w:r>
    </w:p>
  </w:footnote>
  <w:footnote w:id="13">
    <w:p w14:paraId="248450D1" w14:textId="1C8413E9" w:rsidR="00D620CE" w:rsidRPr="000E0EFB" w:rsidRDefault="00D620CE" w:rsidP="000E0EFB">
      <w:pPr>
        <w:pStyle w:val="FootnoteText"/>
        <w:spacing w:line="360" w:lineRule="auto"/>
        <w:jc w:val="both"/>
        <w:rPr>
          <w:sz w:val="22"/>
          <w:szCs w:val="22"/>
        </w:rPr>
      </w:pPr>
      <w:r w:rsidRPr="000E0EFB">
        <w:rPr>
          <w:rStyle w:val="FootnoteReference"/>
          <w:sz w:val="22"/>
          <w:szCs w:val="22"/>
        </w:rPr>
        <w:footnoteRef/>
      </w:r>
      <w:r w:rsidRPr="000E0EFB">
        <w:rPr>
          <w:sz w:val="22"/>
          <w:szCs w:val="22"/>
        </w:rPr>
        <w:t xml:space="preserve"> These are some of the arguments that Marc Fleurbaey puts forward in support of his principle of ‘Weak Pareto for Subgroup Equal Risk’ </w:t>
      </w:r>
      <w:sdt>
        <w:sdtPr>
          <w:rPr>
            <w:sz w:val="22"/>
            <w:szCs w:val="22"/>
          </w:rPr>
          <w:id w:val="140857497"/>
          <w:citation/>
        </w:sdtPr>
        <w:sdtEndPr/>
        <w:sdtContent>
          <w:r w:rsidRPr="000E0EFB">
            <w:rPr>
              <w:sz w:val="22"/>
              <w:szCs w:val="22"/>
            </w:rPr>
            <w:fldChar w:fldCharType="begin"/>
          </w:r>
          <w:r w:rsidRPr="000E0EFB">
            <w:rPr>
              <w:sz w:val="22"/>
              <w:szCs w:val="22"/>
            </w:rPr>
            <w:instrText xml:space="preserve">CITATION Fle10 \p 665 \t  \l 2057 </w:instrText>
          </w:r>
          <w:r w:rsidRPr="000E0EFB">
            <w:rPr>
              <w:sz w:val="22"/>
              <w:szCs w:val="22"/>
            </w:rPr>
            <w:fldChar w:fldCharType="separate"/>
          </w:r>
          <w:r w:rsidR="00122864" w:rsidRPr="00122864">
            <w:rPr>
              <w:noProof/>
              <w:sz w:val="22"/>
              <w:szCs w:val="22"/>
            </w:rPr>
            <w:t>(Fleurbaey 2010, 665)</w:t>
          </w:r>
          <w:r w:rsidRPr="000E0EFB">
            <w:rPr>
              <w:sz w:val="22"/>
              <w:szCs w:val="22"/>
            </w:rPr>
            <w:fldChar w:fldCharType="end"/>
          </w:r>
        </w:sdtContent>
      </w:sdt>
      <w:r w:rsidRPr="000E0EFB">
        <w:rPr>
          <w:sz w:val="22"/>
          <w:szCs w:val="22"/>
        </w:rPr>
        <w:t xml:space="preserve">, which is closely connected to the </w:t>
      </w:r>
      <w:r w:rsidRPr="000E0EFB">
        <w:rPr>
          <w:i/>
          <w:iCs/>
          <w:sz w:val="22"/>
          <w:szCs w:val="22"/>
        </w:rPr>
        <w:t xml:space="preserve">ex ante </w:t>
      </w:r>
      <w:r w:rsidRPr="000E0EFB">
        <w:rPr>
          <w:sz w:val="22"/>
          <w:szCs w:val="22"/>
        </w:rPr>
        <w:t xml:space="preserve">Pareto principle restricted to heartland cases. </w:t>
      </w:r>
    </w:p>
  </w:footnote>
  <w:footnote w:id="14">
    <w:p w14:paraId="22C4AE29" w14:textId="04E741D5" w:rsidR="00D620CE" w:rsidRPr="00F9111B" w:rsidRDefault="00D620CE" w:rsidP="00F9111B">
      <w:pPr>
        <w:pStyle w:val="FootnoteText"/>
        <w:spacing w:line="360" w:lineRule="auto"/>
        <w:rPr>
          <w:sz w:val="22"/>
          <w:szCs w:val="22"/>
        </w:rPr>
      </w:pPr>
      <w:r w:rsidRPr="00F9111B">
        <w:rPr>
          <w:sz w:val="22"/>
          <w:szCs w:val="22"/>
          <w:vertAlign w:val="superscript"/>
        </w:rPr>
        <w:footnoteRef/>
      </w:r>
      <w:r w:rsidRPr="00F9111B">
        <w:rPr>
          <w:sz w:val="22"/>
          <w:szCs w:val="22"/>
        </w:rPr>
        <w:t xml:space="preserve"> Here is an outline for such a case: </w:t>
      </w:r>
    </w:p>
    <w:tbl>
      <w:tblPr>
        <w:tblStyle w:val="TableGrid"/>
        <w:tblW w:w="9355" w:type="dxa"/>
        <w:tblLook w:val="04A0" w:firstRow="1" w:lastRow="0" w:firstColumn="1" w:lastColumn="0" w:noHBand="0" w:noVBand="1"/>
      </w:tblPr>
      <w:tblGrid>
        <w:gridCol w:w="1693"/>
        <w:gridCol w:w="3522"/>
        <w:gridCol w:w="4140"/>
      </w:tblGrid>
      <w:tr w:rsidR="00D620CE" w:rsidRPr="00F9111B" w14:paraId="348EA5FB" w14:textId="77777777" w:rsidTr="006453AA">
        <w:trPr>
          <w:trHeight w:val="452"/>
        </w:trPr>
        <w:tc>
          <w:tcPr>
            <w:tcW w:w="1693" w:type="dxa"/>
          </w:tcPr>
          <w:p w14:paraId="2A9D324E" w14:textId="77777777" w:rsidR="00D620CE" w:rsidRPr="00F9111B" w:rsidRDefault="00D620CE" w:rsidP="00F9111B">
            <w:pPr>
              <w:spacing w:after="0" w:line="360" w:lineRule="auto"/>
              <w:jc w:val="both"/>
              <w:rPr>
                <w:sz w:val="22"/>
              </w:rPr>
            </w:pPr>
          </w:p>
        </w:tc>
        <w:tc>
          <w:tcPr>
            <w:tcW w:w="3522" w:type="dxa"/>
          </w:tcPr>
          <w:p w14:paraId="6B9FA5F0" w14:textId="77777777" w:rsidR="00D620CE" w:rsidRPr="00F9111B" w:rsidRDefault="00D620CE" w:rsidP="00F9111B">
            <w:pPr>
              <w:spacing w:after="0" w:line="360" w:lineRule="auto"/>
              <w:jc w:val="both"/>
              <w:rPr>
                <w:sz w:val="22"/>
              </w:rPr>
            </w:pPr>
            <w:r w:rsidRPr="00F9111B">
              <w:rPr>
                <w:sz w:val="22"/>
              </w:rPr>
              <w:t>State S1</w:t>
            </w:r>
          </w:p>
        </w:tc>
        <w:tc>
          <w:tcPr>
            <w:tcW w:w="4140" w:type="dxa"/>
          </w:tcPr>
          <w:p w14:paraId="66ADCC97" w14:textId="77777777" w:rsidR="00D620CE" w:rsidRPr="00F9111B" w:rsidRDefault="00D620CE" w:rsidP="00F9111B">
            <w:pPr>
              <w:spacing w:after="0" w:line="360" w:lineRule="auto"/>
              <w:jc w:val="both"/>
              <w:rPr>
                <w:sz w:val="22"/>
              </w:rPr>
            </w:pPr>
            <w:r w:rsidRPr="00F9111B">
              <w:rPr>
                <w:sz w:val="22"/>
              </w:rPr>
              <w:t>State S</w:t>
            </w:r>
            <w:r w:rsidRPr="00F9111B">
              <w:rPr>
                <w:sz w:val="22"/>
              </w:rPr>
              <w:softHyphen/>
              <w:t>2</w:t>
            </w:r>
          </w:p>
        </w:tc>
      </w:tr>
      <w:tr w:rsidR="00D620CE" w:rsidRPr="00F9111B" w14:paraId="0ECA934C" w14:textId="77777777" w:rsidTr="006453AA">
        <w:tc>
          <w:tcPr>
            <w:tcW w:w="1693" w:type="dxa"/>
          </w:tcPr>
          <w:p w14:paraId="5F8261F4" w14:textId="77777777" w:rsidR="00D620CE" w:rsidRPr="00F9111B" w:rsidRDefault="00D620CE" w:rsidP="00F9111B">
            <w:pPr>
              <w:spacing w:after="0" w:line="360" w:lineRule="auto"/>
              <w:jc w:val="both"/>
              <w:rPr>
                <w:sz w:val="22"/>
              </w:rPr>
            </w:pPr>
          </w:p>
        </w:tc>
        <w:tc>
          <w:tcPr>
            <w:tcW w:w="3522" w:type="dxa"/>
          </w:tcPr>
          <w:p w14:paraId="27F4AA54" w14:textId="77777777" w:rsidR="00D620CE" w:rsidRPr="00F9111B" w:rsidRDefault="00D620CE" w:rsidP="00F9111B">
            <w:pPr>
              <w:spacing w:after="0" w:line="360" w:lineRule="auto"/>
              <w:jc w:val="both"/>
              <w:rPr>
                <w:sz w:val="22"/>
              </w:rPr>
            </w:pPr>
            <w:r w:rsidRPr="00F9111B">
              <w:rPr>
                <w:sz w:val="22"/>
              </w:rPr>
              <w:t>P(S1) = p</w:t>
            </w:r>
          </w:p>
        </w:tc>
        <w:tc>
          <w:tcPr>
            <w:tcW w:w="4140" w:type="dxa"/>
          </w:tcPr>
          <w:p w14:paraId="70372670" w14:textId="77777777" w:rsidR="00D620CE" w:rsidRPr="00F9111B" w:rsidRDefault="00D620CE" w:rsidP="00F9111B">
            <w:pPr>
              <w:spacing w:after="0" w:line="360" w:lineRule="auto"/>
              <w:jc w:val="both"/>
              <w:rPr>
                <w:sz w:val="22"/>
              </w:rPr>
            </w:pPr>
            <w:r w:rsidRPr="00F9111B">
              <w:rPr>
                <w:sz w:val="22"/>
              </w:rPr>
              <w:t>P(S2) = 1-p</w:t>
            </w:r>
          </w:p>
        </w:tc>
      </w:tr>
      <w:tr w:rsidR="00D620CE" w:rsidRPr="00F9111B" w14:paraId="012B4002" w14:textId="77777777" w:rsidTr="006453AA">
        <w:tc>
          <w:tcPr>
            <w:tcW w:w="1693" w:type="dxa"/>
          </w:tcPr>
          <w:p w14:paraId="0C8180C9" w14:textId="77777777" w:rsidR="00D620CE" w:rsidRPr="00F9111B" w:rsidRDefault="00D620CE" w:rsidP="00F9111B">
            <w:pPr>
              <w:spacing w:after="0" w:line="360" w:lineRule="auto"/>
              <w:jc w:val="both"/>
              <w:rPr>
                <w:sz w:val="22"/>
              </w:rPr>
            </w:pPr>
            <w:r w:rsidRPr="00F9111B">
              <w:rPr>
                <w:sz w:val="22"/>
              </w:rPr>
              <w:t>Risk</w:t>
            </w:r>
          </w:p>
        </w:tc>
        <w:tc>
          <w:tcPr>
            <w:tcW w:w="3522" w:type="dxa"/>
          </w:tcPr>
          <w:p w14:paraId="5F365F02" w14:textId="77777777" w:rsidR="00D620CE" w:rsidRPr="00F9111B" w:rsidRDefault="00D620CE" w:rsidP="00F9111B">
            <w:pPr>
              <w:spacing w:after="0" w:line="360" w:lineRule="auto"/>
              <w:jc w:val="both"/>
              <w:rPr>
                <w:sz w:val="22"/>
              </w:rPr>
            </w:pPr>
            <w:r w:rsidRPr="00F9111B">
              <w:rPr>
                <w:sz w:val="22"/>
              </w:rPr>
              <w:t>Martha: a</w:t>
            </w:r>
          </w:p>
          <w:p w14:paraId="43E7AE36" w14:textId="77777777" w:rsidR="00D620CE" w:rsidRPr="00F9111B" w:rsidRDefault="00D620CE" w:rsidP="00F9111B">
            <w:pPr>
              <w:spacing w:after="0" w:line="360" w:lineRule="auto"/>
              <w:jc w:val="both"/>
              <w:rPr>
                <w:sz w:val="22"/>
              </w:rPr>
            </w:pPr>
            <w:r w:rsidRPr="00F9111B">
              <w:rPr>
                <w:sz w:val="22"/>
              </w:rPr>
              <w:t>Neil: b</w:t>
            </w:r>
          </w:p>
        </w:tc>
        <w:tc>
          <w:tcPr>
            <w:tcW w:w="4140" w:type="dxa"/>
          </w:tcPr>
          <w:p w14:paraId="2A132955" w14:textId="77777777" w:rsidR="00D620CE" w:rsidRPr="00F9111B" w:rsidRDefault="00D620CE" w:rsidP="00F9111B">
            <w:pPr>
              <w:spacing w:after="0" w:line="360" w:lineRule="auto"/>
              <w:jc w:val="both"/>
              <w:rPr>
                <w:sz w:val="22"/>
              </w:rPr>
            </w:pPr>
            <w:r w:rsidRPr="00F9111B">
              <w:rPr>
                <w:sz w:val="22"/>
              </w:rPr>
              <w:t>Martha: e</w:t>
            </w:r>
          </w:p>
          <w:p w14:paraId="3C2561F1" w14:textId="77777777" w:rsidR="00D620CE" w:rsidRPr="00F9111B" w:rsidRDefault="00D620CE" w:rsidP="00F9111B">
            <w:pPr>
              <w:spacing w:after="0" w:line="360" w:lineRule="auto"/>
              <w:jc w:val="both"/>
              <w:rPr>
                <w:sz w:val="22"/>
              </w:rPr>
            </w:pPr>
            <w:r w:rsidRPr="00F9111B">
              <w:rPr>
                <w:sz w:val="22"/>
              </w:rPr>
              <w:t>Neil: f</w:t>
            </w:r>
          </w:p>
        </w:tc>
      </w:tr>
      <w:tr w:rsidR="00D620CE" w:rsidRPr="00F9111B" w14:paraId="3B5246F1" w14:textId="77777777" w:rsidTr="006453AA">
        <w:tc>
          <w:tcPr>
            <w:tcW w:w="1693" w:type="dxa"/>
          </w:tcPr>
          <w:p w14:paraId="73433DF4" w14:textId="77777777" w:rsidR="00D620CE" w:rsidRPr="00F9111B" w:rsidRDefault="00D620CE" w:rsidP="00F9111B">
            <w:pPr>
              <w:spacing w:after="0" w:line="360" w:lineRule="auto"/>
              <w:jc w:val="both"/>
              <w:rPr>
                <w:sz w:val="22"/>
              </w:rPr>
            </w:pPr>
            <w:r w:rsidRPr="00F9111B">
              <w:rPr>
                <w:sz w:val="22"/>
              </w:rPr>
              <w:t>Safe</w:t>
            </w:r>
          </w:p>
        </w:tc>
        <w:tc>
          <w:tcPr>
            <w:tcW w:w="3522" w:type="dxa"/>
          </w:tcPr>
          <w:p w14:paraId="75ACA071" w14:textId="77777777" w:rsidR="00D620CE" w:rsidRPr="00F9111B" w:rsidRDefault="00D620CE" w:rsidP="00F9111B">
            <w:pPr>
              <w:spacing w:after="0" w:line="360" w:lineRule="auto"/>
              <w:jc w:val="both"/>
              <w:rPr>
                <w:sz w:val="22"/>
              </w:rPr>
            </w:pPr>
            <w:r w:rsidRPr="00F9111B">
              <w:rPr>
                <w:sz w:val="22"/>
              </w:rPr>
              <w:t>Martha: c (where c</w:t>
            </w:r>
            <w:r w:rsidRPr="00F9111B">
              <w:rPr>
                <w:sz w:val="22"/>
              </w:rPr>
              <w:sym w:font="Symbol" w:char="F0B9"/>
            </w:r>
            <w:r w:rsidRPr="00F9111B">
              <w:rPr>
                <w:sz w:val="22"/>
              </w:rPr>
              <w:t xml:space="preserve"> a)</w:t>
            </w:r>
          </w:p>
          <w:p w14:paraId="7A93FC85" w14:textId="77777777" w:rsidR="00D620CE" w:rsidRPr="00F9111B" w:rsidRDefault="00D620CE" w:rsidP="00F9111B">
            <w:pPr>
              <w:spacing w:after="0" w:line="360" w:lineRule="auto"/>
              <w:jc w:val="both"/>
              <w:rPr>
                <w:sz w:val="22"/>
              </w:rPr>
            </w:pPr>
            <w:r w:rsidRPr="00F9111B">
              <w:rPr>
                <w:sz w:val="22"/>
              </w:rPr>
              <w:t>Neil: b</w:t>
            </w:r>
          </w:p>
        </w:tc>
        <w:tc>
          <w:tcPr>
            <w:tcW w:w="4140" w:type="dxa"/>
          </w:tcPr>
          <w:p w14:paraId="1A4B62B2" w14:textId="77777777" w:rsidR="00D620CE" w:rsidRPr="00F9111B" w:rsidRDefault="00D620CE" w:rsidP="00F9111B">
            <w:pPr>
              <w:spacing w:after="0" w:line="360" w:lineRule="auto"/>
              <w:jc w:val="both"/>
              <w:rPr>
                <w:sz w:val="22"/>
              </w:rPr>
            </w:pPr>
            <w:r w:rsidRPr="00F9111B">
              <w:rPr>
                <w:sz w:val="22"/>
              </w:rPr>
              <w:t>Martha: e</w:t>
            </w:r>
          </w:p>
          <w:p w14:paraId="5915FB30" w14:textId="77777777" w:rsidR="00D620CE" w:rsidRPr="00F9111B" w:rsidRDefault="00D620CE" w:rsidP="00F9111B">
            <w:pPr>
              <w:spacing w:after="0" w:line="360" w:lineRule="auto"/>
              <w:jc w:val="both"/>
              <w:rPr>
                <w:sz w:val="22"/>
              </w:rPr>
            </w:pPr>
            <w:r w:rsidRPr="00F9111B">
              <w:rPr>
                <w:sz w:val="22"/>
              </w:rPr>
              <w:t>Neil: f</w:t>
            </w:r>
          </w:p>
        </w:tc>
      </w:tr>
    </w:tbl>
    <w:p w14:paraId="36D52946" w14:textId="0B64B0BA" w:rsidR="00D620CE" w:rsidRPr="006453AA" w:rsidRDefault="00D620CE" w:rsidP="00F9111B">
      <w:pPr>
        <w:pStyle w:val="FootnoteText"/>
        <w:spacing w:line="360" w:lineRule="auto"/>
      </w:pPr>
      <w:r w:rsidRPr="00F9111B">
        <w:rPr>
          <w:sz w:val="22"/>
          <w:szCs w:val="22"/>
        </w:rPr>
        <w:t>This is an interesting case: if we assume that 0&lt;p&lt;1, there is some uncertainty; not all individuals are identically situated (for if Martha and Neil were identically situated then it would follow that a=b and that c=b but a</w:t>
      </w:r>
      <w:r w:rsidRPr="00F9111B">
        <w:rPr>
          <w:sz w:val="22"/>
          <w:szCs w:val="22"/>
        </w:rPr>
        <w:sym w:font="Symbol" w:char="F0B9"/>
      </w:r>
      <w:r w:rsidRPr="00F9111B">
        <w:rPr>
          <w:sz w:val="22"/>
          <w:szCs w:val="22"/>
        </w:rPr>
        <w:t>c); and not all individuals are unaffected by the choice of policy, for Martha is affected. Though I have not space to prove it here, it can be shown that if we assume that the decision’s maker’s only uncertainty is over whether S1 or S2 obtains, then this is a heartland case</w:t>
      </w:r>
      <w:r w:rsidRPr="00F9111B">
        <w:rPr>
          <w:sz w:val="22"/>
          <w:szCs w:val="22"/>
          <w:vertAlign w:val="subscript"/>
        </w:rPr>
        <w:t>sup</w:t>
      </w:r>
      <w:r w:rsidRPr="00F9111B">
        <w:rPr>
          <w:sz w:val="22"/>
          <w:szCs w:val="22"/>
        </w:rPr>
        <w:t>. However as soon as we introduce any additional uncertainty we can generate a set of designators relative to which this case is not a heartland case.</w:t>
      </w:r>
      <w:r>
        <w:rPr>
          <w:rFonts w:cs="Times New Roman"/>
          <w:iC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07229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FABE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6E2E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48A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1A046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1AFF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D6FC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FAF6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AE4BF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19619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BE58B9"/>
    <w:multiLevelType w:val="hybridMultilevel"/>
    <w:tmpl w:val="A6CA2E22"/>
    <w:lvl w:ilvl="0" w:tplc="C2388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F8B00BA"/>
    <w:multiLevelType w:val="hybridMultilevel"/>
    <w:tmpl w:val="4ADAEC6E"/>
    <w:lvl w:ilvl="0" w:tplc="2806FA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4B237A9"/>
    <w:multiLevelType w:val="hybridMultilevel"/>
    <w:tmpl w:val="09FC637E"/>
    <w:lvl w:ilvl="0" w:tplc="07FC8A1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5B577F2"/>
    <w:multiLevelType w:val="hybridMultilevel"/>
    <w:tmpl w:val="042079FC"/>
    <w:lvl w:ilvl="0" w:tplc="C91E3476">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CD573C"/>
    <w:multiLevelType w:val="hybridMultilevel"/>
    <w:tmpl w:val="EA6EFD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221930"/>
    <w:multiLevelType w:val="hybridMultilevel"/>
    <w:tmpl w:val="4ADAEC6E"/>
    <w:lvl w:ilvl="0" w:tplc="2806FA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BB08BA"/>
    <w:multiLevelType w:val="hybridMultilevel"/>
    <w:tmpl w:val="D8AE26C2"/>
    <w:lvl w:ilvl="0" w:tplc="DCC06D2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A54832"/>
    <w:multiLevelType w:val="hybridMultilevel"/>
    <w:tmpl w:val="4ADAEC6E"/>
    <w:lvl w:ilvl="0" w:tplc="2806FA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F2501CB"/>
    <w:multiLevelType w:val="hybridMultilevel"/>
    <w:tmpl w:val="454C0B68"/>
    <w:lvl w:ilvl="0" w:tplc="D34CB6E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07E416C"/>
    <w:multiLevelType w:val="hybridMultilevel"/>
    <w:tmpl w:val="E0A0E356"/>
    <w:lvl w:ilvl="0" w:tplc="07FC8A1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484C89"/>
    <w:multiLevelType w:val="hybridMultilevel"/>
    <w:tmpl w:val="B3CC2E44"/>
    <w:lvl w:ilvl="0" w:tplc="C65E8F5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74D6AF3"/>
    <w:multiLevelType w:val="hybridMultilevel"/>
    <w:tmpl w:val="136ECE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B4B27BF"/>
    <w:multiLevelType w:val="hybridMultilevel"/>
    <w:tmpl w:val="617C5308"/>
    <w:lvl w:ilvl="0" w:tplc="C65E8F5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58D2957"/>
    <w:multiLevelType w:val="hybridMultilevel"/>
    <w:tmpl w:val="617C5308"/>
    <w:lvl w:ilvl="0" w:tplc="C65E8F52">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5AB1F09"/>
    <w:multiLevelType w:val="hybridMultilevel"/>
    <w:tmpl w:val="E0A0E356"/>
    <w:lvl w:ilvl="0" w:tplc="07FC8A1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80A176A"/>
    <w:multiLevelType w:val="hybridMultilevel"/>
    <w:tmpl w:val="EE54D35A"/>
    <w:lvl w:ilvl="0" w:tplc="7A1853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C6A72E0"/>
    <w:multiLevelType w:val="hybridMultilevel"/>
    <w:tmpl w:val="CCE85E9C"/>
    <w:lvl w:ilvl="0" w:tplc="10C49BD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52E3F7D"/>
    <w:multiLevelType w:val="hybridMultilevel"/>
    <w:tmpl w:val="3306DD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9A462E1"/>
    <w:multiLevelType w:val="hybridMultilevel"/>
    <w:tmpl w:val="55ECCDA2"/>
    <w:lvl w:ilvl="0" w:tplc="C65E8F52">
      <w:start w:val="1"/>
      <w:numFmt w:val="lowerRoman"/>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17"/>
  </w:num>
  <w:num w:numId="3">
    <w:abstractNumId w:val="11"/>
  </w:num>
  <w:num w:numId="4">
    <w:abstractNumId w:val="28"/>
  </w:num>
  <w:num w:numId="5">
    <w:abstractNumId w:val="19"/>
  </w:num>
  <w:num w:numId="6">
    <w:abstractNumId w:val="21"/>
  </w:num>
  <w:num w:numId="7">
    <w:abstractNumId w:val="27"/>
  </w:num>
  <w:num w:numId="8">
    <w:abstractNumId w:val="12"/>
  </w:num>
  <w:num w:numId="9">
    <w:abstractNumId w:val="24"/>
  </w:num>
  <w:num w:numId="10">
    <w:abstractNumId w:val="9"/>
  </w:num>
  <w:num w:numId="11">
    <w:abstractNumId w:val="8"/>
  </w:num>
  <w:num w:numId="12">
    <w:abstractNumId w:val="7"/>
  </w:num>
  <w:num w:numId="13">
    <w:abstractNumId w:val="6"/>
  </w:num>
  <w:num w:numId="14">
    <w:abstractNumId w:val="5"/>
  </w:num>
  <w:num w:numId="15">
    <w:abstractNumId w:val="4"/>
  </w:num>
  <w:num w:numId="16">
    <w:abstractNumId w:val="3"/>
  </w:num>
  <w:num w:numId="17">
    <w:abstractNumId w:val="2"/>
  </w:num>
  <w:num w:numId="18">
    <w:abstractNumId w:val="1"/>
  </w:num>
  <w:num w:numId="19">
    <w:abstractNumId w:val="0"/>
  </w:num>
  <w:num w:numId="20">
    <w:abstractNumId w:val="18"/>
  </w:num>
  <w:num w:numId="21">
    <w:abstractNumId w:val="25"/>
  </w:num>
  <w:num w:numId="22">
    <w:abstractNumId w:val="14"/>
  </w:num>
  <w:num w:numId="23">
    <w:abstractNumId w:val="13"/>
  </w:num>
  <w:num w:numId="24">
    <w:abstractNumId w:val="20"/>
  </w:num>
  <w:num w:numId="25">
    <w:abstractNumId w:val="26"/>
  </w:num>
  <w:num w:numId="26">
    <w:abstractNumId w:val="23"/>
  </w:num>
  <w:num w:numId="27">
    <w:abstractNumId w:val="22"/>
  </w:num>
  <w:num w:numId="28">
    <w:abstractNumId w:val="10"/>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B50"/>
    <w:rsid w:val="00003AF1"/>
    <w:rsid w:val="0001155B"/>
    <w:rsid w:val="000118E7"/>
    <w:rsid w:val="000168CE"/>
    <w:rsid w:val="00022185"/>
    <w:rsid w:val="00042367"/>
    <w:rsid w:val="00050486"/>
    <w:rsid w:val="00054EE1"/>
    <w:rsid w:val="000557E5"/>
    <w:rsid w:val="00055E93"/>
    <w:rsid w:val="000568C5"/>
    <w:rsid w:val="000572A1"/>
    <w:rsid w:val="00062D0E"/>
    <w:rsid w:val="000700EF"/>
    <w:rsid w:val="00090D8D"/>
    <w:rsid w:val="000919B8"/>
    <w:rsid w:val="000A2BB3"/>
    <w:rsid w:val="000A4EFC"/>
    <w:rsid w:val="000A7793"/>
    <w:rsid w:val="000D2FC6"/>
    <w:rsid w:val="000E0EFB"/>
    <w:rsid w:val="000E59FF"/>
    <w:rsid w:val="000F116A"/>
    <w:rsid w:val="000F7465"/>
    <w:rsid w:val="001045BD"/>
    <w:rsid w:val="0010535B"/>
    <w:rsid w:val="00106B18"/>
    <w:rsid w:val="0011599D"/>
    <w:rsid w:val="00117460"/>
    <w:rsid w:val="00121704"/>
    <w:rsid w:val="00122864"/>
    <w:rsid w:val="00124B00"/>
    <w:rsid w:val="00125876"/>
    <w:rsid w:val="001326D7"/>
    <w:rsid w:val="00132B41"/>
    <w:rsid w:val="00144B3B"/>
    <w:rsid w:val="001453C7"/>
    <w:rsid w:val="00152461"/>
    <w:rsid w:val="00154323"/>
    <w:rsid w:val="00174A4A"/>
    <w:rsid w:val="00174D16"/>
    <w:rsid w:val="00176884"/>
    <w:rsid w:val="001810CA"/>
    <w:rsid w:val="00181BA7"/>
    <w:rsid w:val="001859AE"/>
    <w:rsid w:val="00195F94"/>
    <w:rsid w:val="001B3820"/>
    <w:rsid w:val="001C15FB"/>
    <w:rsid w:val="001C7F45"/>
    <w:rsid w:val="001E0D0A"/>
    <w:rsid w:val="001F1A06"/>
    <w:rsid w:val="00204F6F"/>
    <w:rsid w:val="00220A54"/>
    <w:rsid w:val="002321A9"/>
    <w:rsid w:val="00232606"/>
    <w:rsid w:val="00252C52"/>
    <w:rsid w:val="00253EBA"/>
    <w:rsid w:val="00254404"/>
    <w:rsid w:val="0025634E"/>
    <w:rsid w:val="00257A5A"/>
    <w:rsid w:val="002627C0"/>
    <w:rsid w:val="002632EA"/>
    <w:rsid w:val="002666C8"/>
    <w:rsid w:val="002755B0"/>
    <w:rsid w:val="00275D53"/>
    <w:rsid w:val="00285C95"/>
    <w:rsid w:val="00294950"/>
    <w:rsid w:val="002978A6"/>
    <w:rsid w:val="002A1549"/>
    <w:rsid w:val="002A27D0"/>
    <w:rsid w:val="002A39A6"/>
    <w:rsid w:val="002A7821"/>
    <w:rsid w:val="002A7C22"/>
    <w:rsid w:val="002B4CB0"/>
    <w:rsid w:val="002B71F5"/>
    <w:rsid w:val="002C03B8"/>
    <w:rsid w:val="002C098F"/>
    <w:rsid w:val="002D2062"/>
    <w:rsid w:val="002D7C25"/>
    <w:rsid w:val="002F437C"/>
    <w:rsid w:val="003007FF"/>
    <w:rsid w:val="003114F3"/>
    <w:rsid w:val="00312CF8"/>
    <w:rsid w:val="00331EB0"/>
    <w:rsid w:val="00342A28"/>
    <w:rsid w:val="00350C44"/>
    <w:rsid w:val="0036172C"/>
    <w:rsid w:val="003633F1"/>
    <w:rsid w:val="00370142"/>
    <w:rsid w:val="00370821"/>
    <w:rsid w:val="00370C3C"/>
    <w:rsid w:val="0038293D"/>
    <w:rsid w:val="00386483"/>
    <w:rsid w:val="00392A32"/>
    <w:rsid w:val="00393694"/>
    <w:rsid w:val="00397046"/>
    <w:rsid w:val="003970F0"/>
    <w:rsid w:val="003A7B32"/>
    <w:rsid w:val="003C6E01"/>
    <w:rsid w:val="003D2693"/>
    <w:rsid w:val="003D29D4"/>
    <w:rsid w:val="003D2BBB"/>
    <w:rsid w:val="003D3D1A"/>
    <w:rsid w:val="003D75CE"/>
    <w:rsid w:val="003E660F"/>
    <w:rsid w:val="003F0648"/>
    <w:rsid w:val="003F39F8"/>
    <w:rsid w:val="00400C3A"/>
    <w:rsid w:val="00410FF1"/>
    <w:rsid w:val="00415CEA"/>
    <w:rsid w:val="00417611"/>
    <w:rsid w:val="00424AE6"/>
    <w:rsid w:val="00425361"/>
    <w:rsid w:val="00425F49"/>
    <w:rsid w:val="00430B62"/>
    <w:rsid w:val="0043603C"/>
    <w:rsid w:val="00441F1C"/>
    <w:rsid w:val="00444283"/>
    <w:rsid w:val="00453FA0"/>
    <w:rsid w:val="004600AE"/>
    <w:rsid w:val="00460D7E"/>
    <w:rsid w:val="00461EBA"/>
    <w:rsid w:val="00481851"/>
    <w:rsid w:val="00485821"/>
    <w:rsid w:val="00496980"/>
    <w:rsid w:val="004A3D77"/>
    <w:rsid w:val="004A479C"/>
    <w:rsid w:val="004A6A06"/>
    <w:rsid w:val="004A6C3F"/>
    <w:rsid w:val="004B119B"/>
    <w:rsid w:val="004C1534"/>
    <w:rsid w:val="004C188C"/>
    <w:rsid w:val="004C4E3A"/>
    <w:rsid w:val="004C5957"/>
    <w:rsid w:val="004C6E19"/>
    <w:rsid w:val="004D7EAE"/>
    <w:rsid w:val="004E149E"/>
    <w:rsid w:val="004E4BF1"/>
    <w:rsid w:val="004E508D"/>
    <w:rsid w:val="004E6B0C"/>
    <w:rsid w:val="004E76B9"/>
    <w:rsid w:val="004F2BC0"/>
    <w:rsid w:val="004F7B50"/>
    <w:rsid w:val="00505593"/>
    <w:rsid w:val="0050611A"/>
    <w:rsid w:val="00514A5A"/>
    <w:rsid w:val="00516854"/>
    <w:rsid w:val="005209CB"/>
    <w:rsid w:val="00520BB6"/>
    <w:rsid w:val="0052153A"/>
    <w:rsid w:val="00532F3C"/>
    <w:rsid w:val="005409DE"/>
    <w:rsid w:val="0054590A"/>
    <w:rsid w:val="00553A35"/>
    <w:rsid w:val="00553E26"/>
    <w:rsid w:val="00554F8E"/>
    <w:rsid w:val="00555BB9"/>
    <w:rsid w:val="00567445"/>
    <w:rsid w:val="00567778"/>
    <w:rsid w:val="00574814"/>
    <w:rsid w:val="00582120"/>
    <w:rsid w:val="005836FD"/>
    <w:rsid w:val="00584F3A"/>
    <w:rsid w:val="00586242"/>
    <w:rsid w:val="00594FCA"/>
    <w:rsid w:val="00595A77"/>
    <w:rsid w:val="005A1363"/>
    <w:rsid w:val="005A21DE"/>
    <w:rsid w:val="005A3036"/>
    <w:rsid w:val="005A3839"/>
    <w:rsid w:val="005A5637"/>
    <w:rsid w:val="005B16E2"/>
    <w:rsid w:val="005B7753"/>
    <w:rsid w:val="005C352B"/>
    <w:rsid w:val="005D317F"/>
    <w:rsid w:val="005E155C"/>
    <w:rsid w:val="005E229F"/>
    <w:rsid w:val="005E636D"/>
    <w:rsid w:val="00604EFB"/>
    <w:rsid w:val="00607E11"/>
    <w:rsid w:val="00614E66"/>
    <w:rsid w:val="006213FA"/>
    <w:rsid w:val="00625773"/>
    <w:rsid w:val="00626CE7"/>
    <w:rsid w:val="006412A6"/>
    <w:rsid w:val="006453AA"/>
    <w:rsid w:val="00655291"/>
    <w:rsid w:val="006639DC"/>
    <w:rsid w:val="00663CB0"/>
    <w:rsid w:val="006669A0"/>
    <w:rsid w:val="006751B0"/>
    <w:rsid w:val="00680540"/>
    <w:rsid w:val="006834FB"/>
    <w:rsid w:val="00690BD0"/>
    <w:rsid w:val="00696764"/>
    <w:rsid w:val="006A671D"/>
    <w:rsid w:val="006A6D42"/>
    <w:rsid w:val="006C0276"/>
    <w:rsid w:val="006C43F7"/>
    <w:rsid w:val="006C7CCE"/>
    <w:rsid w:val="006D655F"/>
    <w:rsid w:val="006E07D4"/>
    <w:rsid w:val="006E2A05"/>
    <w:rsid w:val="006F0A33"/>
    <w:rsid w:val="006F3CD9"/>
    <w:rsid w:val="00701CEC"/>
    <w:rsid w:val="00705547"/>
    <w:rsid w:val="00732B41"/>
    <w:rsid w:val="00762842"/>
    <w:rsid w:val="007639BB"/>
    <w:rsid w:val="00765188"/>
    <w:rsid w:val="0076561B"/>
    <w:rsid w:val="00771191"/>
    <w:rsid w:val="007722DB"/>
    <w:rsid w:val="007773CC"/>
    <w:rsid w:val="00782273"/>
    <w:rsid w:val="00785729"/>
    <w:rsid w:val="007908FD"/>
    <w:rsid w:val="00790960"/>
    <w:rsid w:val="00794955"/>
    <w:rsid w:val="007A2A57"/>
    <w:rsid w:val="007A4D73"/>
    <w:rsid w:val="007A69F6"/>
    <w:rsid w:val="007A7ACD"/>
    <w:rsid w:val="007B7616"/>
    <w:rsid w:val="007B7DB0"/>
    <w:rsid w:val="007C15CC"/>
    <w:rsid w:val="007C3D39"/>
    <w:rsid w:val="007D19A2"/>
    <w:rsid w:val="007D2F5B"/>
    <w:rsid w:val="007D36B2"/>
    <w:rsid w:val="007D4AF3"/>
    <w:rsid w:val="008173F3"/>
    <w:rsid w:val="00821386"/>
    <w:rsid w:val="0082497A"/>
    <w:rsid w:val="0083009A"/>
    <w:rsid w:val="00831E9D"/>
    <w:rsid w:val="00835969"/>
    <w:rsid w:val="00836C07"/>
    <w:rsid w:val="008379B6"/>
    <w:rsid w:val="0085152A"/>
    <w:rsid w:val="00854B44"/>
    <w:rsid w:val="00855636"/>
    <w:rsid w:val="0085594A"/>
    <w:rsid w:val="008577E0"/>
    <w:rsid w:val="00873B6A"/>
    <w:rsid w:val="00886990"/>
    <w:rsid w:val="008925AD"/>
    <w:rsid w:val="008928D8"/>
    <w:rsid w:val="008A789B"/>
    <w:rsid w:val="008B106F"/>
    <w:rsid w:val="008C4DBC"/>
    <w:rsid w:val="008D189A"/>
    <w:rsid w:val="008D5081"/>
    <w:rsid w:val="008D601A"/>
    <w:rsid w:val="008F2DD3"/>
    <w:rsid w:val="008F60E9"/>
    <w:rsid w:val="009100DC"/>
    <w:rsid w:val="00910EEF"/>
    <w:rsid w:val="00911C28"/>
    <w:rsid w:val="00917BF4"/>
    <w:rsid w:val="00924ABD"/>
    <w:rsid w:val="009260F8"/>
    <w:rsid w:val="00926566"/>
    <w:rsid w:val="00932334"/>
    <w:rsid w:val="00934788"/>
    <w:rsid w:val="009370D3"/>
    <w:rsid w:val="00946E36"/>
    <w:rsid w:val="00971096"/>
    <w:rsid w:val="00974CFB"/>
    <w:rsid w:val="009966C5"/>
    <w:rsid w:val="00996C74"/>
    <w:rsid w:val="00997390"/>
    <w:rsid w:val="009A0DC7"/>
    <w:rsid w:val="009B236B"/>
    <w:rsid w:val="009B6C91"/>
    <w:rsid w:val="009C0366"/>
    <w:rsid w:val="009C13CF"/>
    <w:rsid w:val="009C5605"/>
    <w:rsid w:val="009D6018"/>
    <w:rsid w:val="009E0BA0"/>
    <w:rsid w:val="009F3593"/>
    <w:rsid w:val="00A00766"/>
    <w:rsid w:val="00A0525B"/>
    <w:rsid w:val="00A079A3"/>
    <w:rsid w:val="00A11293"/>
    <w:rsid w:val="00A12048"/>
    <w:rsid w:val="00A157DA"/>
    <w:rsid w:val="00A20077"/>
    <w:rsid w:val="00A26DE6"/>
    <w:rsid w:val="00A27B68"/>
    <w:rsid w:val="00A31365"/>
    <w:rsid w:val="00A32EBE"/>
    <w:rsid w:val="00A33DCE"/>
    <w:rsid w:val="00A34865"/>
    <w:rsid w:val="00A34975"/>
    <w:rsid w:val="00A40444"/>
    <w:rsid w:val="00A425FD"/>
    <w:rsid w:val="00A45BAA"/>
    <w:rsid w:val="00A4659A"/>
    <w:rsid w:val="00A47F12"/>
    <w:rsid w:val="00A5032F"/>
    <w:rsid w:val="00A5705C"/>
    <w:rsid w:val="00A578DF"/>
    <w:rsid w:val="00A579A6"/>
    <w:rsid w:val="00A62823"/>
    <w:rsid w:val="00A72458"/>
    <w:rsid w:val="00A73307"/>
    <w:rsid w:val="00A752FC"/>
    <w:rsid w:val="00A756DA"/>
    <w:rsid w:val="00A8053D"/>
    <w:rsid w:val="00A83EF4"/>
    <w:rsid w:val="00A91A21"/>
    <w:rsid w:val="00A946FF"/>
    <w:rsid w:val="00A95859"/>
    <w:rsid w:val="00A95EB8"/>
    <w:rsid w:val="00AA0DC5"/>
    <w:rsid w:val="00AA65E8"/>
    <w:rsid w:val="00AA6C19"/>
    <w:rsid w:val="00AB2931"/>
    <w:rsid w:val="00AB3866"/>
    <w:rsid w:val="00AB3A1B"/>
    <w:rsid w:val="00AB4FBB"/>
    <w:rsid w:val="00AC1769"/>
    <w:rsid w:val="00AC7190"/>
    <w:rsid w:val="00AC7632"/>
    <w:rsid w:val="00AD6FD0"/>
    <w:rsid w:val="00AE0716"/>
    <w:rsid w:val="00AE2784"/>
    <w:rsid w:val="00AF1063"/>
    <w:rsid w:val="00AF37CE"/>
    <w:rsid w:val="00AF4CFB"/>
    <w:rsid w:val="00B01A06"/>
    <w:rsid w:val="00B02266"/>
    <w:rsid w:val="00B04D5D"/>
    <w:rsid w:val="00B119D5"/>
    <w:rsid w:val="00B12BEA"/>
    <w:rsid w:val="00B158D8"/>
    <w:rsid w:val="00B21458"/>
    <w:rsid w:val="00B214A9"/>
    <w:rsid w:val="00B26DCA"/>
    <w:rsid w:val="00B356DE"/>
    <w:rsid w:val="00B36BCB"/>
    <w:rsid w:val="00B471BC"/>
    <w:rsid w:val="00B52AF1"/>
    <w:rsid w:val="00B53268"/>
    <w:rsid w:val="00B60634"/>
    <w:rsid w:val="00B64FEA"/>
    <w:rsid w:val="00B773EB"/>
    <w:rsid w:val="00B80BFF"/>
    <w:rsid w:val="00B82310"/>
    <w:rsid w:val="00B8773D"/>
    <w:rsid w:val="00BB349D"/>
    <w:rsid w:val="00BC4B2D"/>
    <w:rsid w:val="00BC6144"/>
    <w:rsid w:val="00BC61D6"/>
    <w:rsid w:val="00BE0386"/>
    <w:rsid w:val="00BE6E30"/>
    <w:rsid w:val="00BF4EF4"/>
    <w:rsid w:val="00C0073E"/>
    <w:rsid w:val="00C03DB6"/>
    <w:rsid w:val="00C27DE6"/>
    <w:rsid w:val="00C44508"/>
    <w:rsid w:val="00C51F1F"/>
    <w:rsid w:val="00C549B2"/>
    <w:rsid w:val="00C605A7"/>
    <w:rsid w:val="00C7201F"/>
    <w:rsid w:val="00C83853"/>
    <w:rsid w:val="00C873E1"/>
    <w:rsid w:val="00C93CB2"/>
    <w:rsid w:val="00C9400C"/>
    <w:rsid w:val="00C96734"/>
    <w:rsid w:val="00C96E81"/>
    <w:rsid w:val="00CA119B"/>
    <w:rsid w:val="00CB08E5"/>
    <w:rsid w:val="00CB1D7A"/>
    <w:rsid w:val="00CD7E8C"/>
    <w:rsid w:val="00CE0863"/>
    <w:rsid w:val="00CE7B57"/>
    <w:rsid w:val="00CF1FC7"/>
    <w:rsid w:val="00CF77B6"/>
    <w:rsid w:val="00D03F5F"/>
    <w:rsid w:val="00D0515C"/>
    <w:rsid w:val="00D12F48"/>
    <w:rsid w:val="00D1648C"/>
    <w:rsid w:val="00D20C13"/>
    <w:rsid w:val="00D20E7A"/>
    <w:rsid w:val="00D2268E"/>
    <w:rsid w:val="00D23171"/>
    <w:rsid w:val="00D3661B"/>
    <w:rsid w:val="00D37A5B"/>
    <w:rsid w:val="00D37FEF"/>
    <w:rsid w:val="00D4275E"/>
    <w:rsid w:val="00D45874"/>
    <w:rsid w:val="00D47130"/>
    <w:rsid w:val="00D500E1"/>
    <w:rsid w:val="00D620CE"/>
    <w:rsid w:val="00D6775E"/>
    <w:rsid w:val="00D83268"/>
    <w:rsid w:val="00D83FDA"/>
    <w:rsid w:val="00D9068B"/>
    <w:rsid w:val="00D907B2"/>
    <w:rsid w:val="00D922AB"/>
    <w:rsid w:val="00D93122"/>
    <w:rsid w:val="00D94F74"/>
    <w:rsid w:val="00D95E1A"/>
    <w:rsid w:val="00DA7214"/>
    <w:rsid w:val="00DD2F21"/>
    <w:rsid w:val="00DE2B8D"/>
    <w:rsid w:val="00DE3DFF"/>
    <w:rsid w:val="00E1179F"/>
    <w:rsid w:val="00E20B24"/>
    <w:rsid w:val="00E26B6D"/>
    <w:rsid w:val="00E303CE"/>
    <w:rsid w:val="00E328E4"/>
    <w:rsid w:val="00E41425"/>
    <w:rsid w:val="00E46922"/>
    <w:rsid w:val="00E51B39"/>
    <w:rsid w:val="00E55476"/>
    <w:rsid w:val="00E5560B"/>
    <w:rsid w:val="00E70BA3"/>
    <w:rsid w:val="00E8602C"/>
    <w:rsid w:val="00E86F9C"/>
    <w:rsid w:val="00E9409C"/>
    <w:rsid w:val="00EA31EB"/>
    <w:rsid w:val="00EA5107"/>
    <w:rsid w:val="00EB2549"/>
    <w:rsid w:val="00EB48AF"/>
    <w:rsid w:val="00EB78CB"/>
    <w:rsid w:val="00EC6B4E"/>
    <w:rsid w:val="00EC7301"/>
    <w:rsid w:val="00ED0BBB"/>
    <w:rsid w:val="00ED585E"/>
    <w:rsid w:val="00EE49AC"/>
    <w:rsid w:val="00EF25E0"/>
    <w:rsid w:val="00F06497"/>
    <w:rsid w:val="00F164AF"/>
    <w:rsid w:val="00F2495C"/>
    <w:rsid w:val="00F379A9"/>
    <w:rsid w:val="00F44A6C"/>
    <w:rsid w:val="00F469A1"/>
    <w:rsid w:val="00F474E3"/>
    <w:rsid w:val="00F47916"/>
    <w:rsid w:val="00F50F78"/>
    <w:rsid w:val="00F66D84"/>
    <w:rsid w:val="00F67A34"/>
    <w:rsid w:val="00F737FA"/>
    <w:rsid w:val="00F76CA6"/>
    <w:rsid w:val="00F84FC0"/>
    <w:rsid w:val="00F859F6"/>
    <w:rsid w:val="00F9111B"/>
    <w:rsid w:val="00F94BDA"/>
    <w:rsid w:val="00F96A80"/>
    <w:rsid w:val="00FA0069"/>
    <w:rsid w:val="00FB07F5"/>
    <w:rsid w:val="00FB3B42"/>
    <w:rsid w:val="00FD3E66"/>
    <w:rsid w:val="00FD5BCB"/>
    <w:rsid w:val="00FE491E"/>
    <w:rsid w:val="00FE537A"/>
    <w:rsid w:val="00FE6550"/>
    <w:rsid w:val="00FF1446"/>
    <w:rsid w:val="00FF34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8E377A"/>
  <w15:chartTrackingRefBased/>
  <w15:docId w15:val="{64EC0FCD-6DBD-4050-9AAA-0A1259101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EFB"/>
    <w:pPr>
      <w:spacing w:after="120" w:line="480" w:lineRule="auto"/>
    </w:pPr>
    <w:rPr>
      <w:rFonts w:ascii="Cambria" w:hAnsi="Cambria"/>
      <w:sz w:val="24"/>
    </w:rPr>
  </w:style>
  <w:style w:type="paragraph" w:styleId="Heading1">
    <w:name w:val="heading 1"/>
    <w:basedOn w:val="Normal"/>
    <w:next w:val="Normal"/>
    <w:link w:val="Heading1Char"/>
    <w:uiPriority w:val="9"/>
    <w:qFormat/>
    <w:rsid w:val="00821386"/>
    <w:pPr>
      <w:keepNext/>
      <w:keepLines/>
      <w:spacing w:before="240" w:after="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21386"/>
    <w:pPr>
      <w:keepNext/>
      <w:keepLines/>
      <w:spacing w:before="40" w:after="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21386"/>
    <w:pPr>
      <w:keepNext/>
      <w:keepLines/>
      <w:spacing w:before="40" w:after="0"/>
      <w:outlineLvl w:val="2"/>
    </w:pPr>
    <w:rPr>
      <w:rFonts w:eastAsiaTheme="majorEastAsia"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FD0"/>
    <w:pPr>
      <w:ind w:left="720"/>
      <w:contextualSpacing/>
    </w:pPr>
  </w:style>
  <w:style w:type="paragraph" w:styleId="FootnoteText">
    <w:name w:val="footnote text"/>
    <w:basedOn w:val="Normal"/>
    <w:link w:val="FootnoteTextChar"/>
    <w:uiPriority w:val="99"/>
    <w:unhideWhenUsed/>
    <w:rsid w:val="005A3036"/>
    <w:pPr>
      <w:spacing w:after="0" w:line="240" w:lineRule="auto"/>
    </w:pPr>
    <w:rPr>
      <w:sz w:val="20"/>
      <w:szCs w:val="20"/>
    </w:rPr>
  </w:style>
  <w:style w:type="character" w:customStyle="1" w:styleId="FootnoteTextChar">
    <w:name w:val="Footnote Text Char"/>
    <w:basedOn w:val="DefaultParagraphFont"/>
    <w:link w:val="FootnoteText"/>
    <w:uiPriority w:val="99"/>
    <w:rsid w:val="005A3036"/>
    <w:rPr>
      <w:sz w:val="20"/>
      <w:szCs w:val="20"/>
    </w:rPr>
  </w:style>
  <w:style w:type="character" w:styleId="FootnoteReference">
    <w:name w:val="footnote reference"/>
    <w:basedOn w:val="DefaultParagraphFont"/>
    <w:uiPriority w:val="99"/>
    <w:semiHidden/>
    <w:unhideWhenUsed/>
    <w:rsid w:val="005A3036"/>
    <w:rPr>
      <w:vertAlign w:val="superscript"/>
    </w:rPr>
  </w:style>
  <w:style w:type="table" w:styleId="TableGrid">
    <w:name w:val="Table Grid"/>
    <w:basedOn w:val="TableNormal"/>
    <w:uiPriority w:val="39"/>
    <w:rsid w:val="00425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E2B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B8D"/>
    <w:rPr>
      <w:rFonts w:ascii="Segoe UI" w:hAnsi="Segoe UI" w:cs="Segoe UI"/>
      <w:sz w:val="18"/>
      <w:szCs w:val="18"/>
    </w:rPr>
  </w:style>
  <w:style w:type="paragraph" w:styleId="Header">
    <w:name w:val="header"/>
    <w:basedOn w:val="Normal"/>
    <w:link w:val="HeaderChar"/>
    <w:uiPriority w:val="99"/>
    <w:unhideWhenUsed/>
    <w:rsid w:val="008869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6990"/>
  </w:style>
  <w:style w:type="paragraph" w:styleId="Footer">
    <w:name w:val="footer"/>
    <w:basedOn w:val="Normal"/>
    <w:link w:val="FooterChar"/>
    <w:uiPriority w:val="99"/>
    <w:unhideWhenUsed/>
    <w:rsid w:val="008869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6990"/>
  </w:style>
  <w:style w:type="paragraph" w:styleId="BodyText">
    <w:name w:val="Body Text"/>
    <w:basedOn w:val="Normal"/>
    <w:link w:val="BodyTextChar"/>
    <w:uiPriority w:val="99"/>
    <w:unhideWhenUsed/>
    <w:rsid w:val="00821386"/>
  </w:style>
  <w:style w:type="character" w:customStyle="1" w:styleId="BodyTextChar">
    <w:name w:val="Body Text Char"/>
    <w:basedOn w:val="DefaultParagraphFont"/>
    <w:link w:val="BodyText"/>
    <w:uiPriority w:val="99"/>
    <w:rsid w:val="00821386"/>
  </w:style>
  <w:style w:type="paragraph" w:styleId="BodyText2">
    <w:name w:val="Body Text 2"/>
    <w:basedOn w:val="Normal"/>
    <w:link w:val="BodyText2Char"/>
    <w:uiPriority w:val="99"/>
    <w:unhideWhenUsed/>
    <w:rsid w:val="00821386"/>
  </w:style>
  <w:style w:type="character" w:customStyle="1" w:styleId="BodyText2Char">
    <w:name w:val="Body Text 2 Char"/>
    <w:basedOn w:val="DefaultParagraphFont"/>
    <w:link w:val="BodyText2"/>
    <w:uiPriority w:val="99"/>
    <w:rsid w:val="00821386"/>
  </w:style>
  <w:style w:type="paragraph" w:styleId="BodyText3">
    <w:name w:val="Body Text 3"/>
    <w:basedOn w:val="Normal"/>
    <w:link w:val="BodyText3Char"/>
    <w:uiPriority w:val="99"/>
    <w:unhideWhenUsed/>
    <w:rsid w:val="00821386"/>
    <w:rPr>
      <w:sz w:val="16"/>
      <w:szCs w:val="16"/>
    </w:rPr>
  </w:style>
  <w:style w:type="character" w:customStyle="1" w:styleId="BodyText3Char">
    <w:name w:val="Body Text 3 Char"/>
    <w:basedOn w:val="DefaultParagraphFont"/>
    <w:link w:val="BodyText3"/>
    <w:uiPriority w:val="99"/>
    <w:rsid w:val="00821386"/>
    <w:rPr>
      <w:sz w:val="16"/>
      <w:szCs w:val="16"/>
    </w:rPr>
  </w:style>
  <w:style w:type="paragraph" w:styleId="BodyTextFirstIndent">
    <w:name w:val="Body Text First Indent"/>
    <w:basedOn w:val="BodyText"/>
    <w:link w:val="BodyTextFirstIndentChar"/>
    <w:uiPriority w:val="99"/>
    <w:unhideWhenUsed/>
    <w:rsid w:val="00821386"/>
    <w:pPr>
      <w:spacing w:after="160"/>
      <w:ind w:firstLine="360"/>
    </w:pPr>
  </w:style>
  <w:style w:type="character" w:customStyle="1" w:styleId="BodyTextFirstIndentChar">
    <w:name w:val="Body Text First Indent Char"/>
    <w:basedOn w:val="BodyTextChar"/>
    <w:link w:val="BodyTextFirstIndent"/>
    <w:uiPriority w:val="99"/>
    <w:rsid w:val="00821386"/>
  </w:style>
  <w:style w:type="paragraph" w:styleId="BodyTextIndent">
    <w:name w:val="Body Text Indent"/>
    <w:basedOn w:val="Normal"/>
    <w:link w:val="BodyTextIndentChar"/>
    <w:uiPriority w:val="99"/>
    <w:unhideWhenUsed/>
    <w:rsid w:val="00821386"/>
    <w:pPr>
      <w:ind w:left="283"/>
    </w:pPr>
  </w:style>
  <w:style w:type="character" w:customStyle="1" w:styleId="BodyTextIndentChar">
    <w:name w:val="Body Text Indent Char"/>
    <w:basedOn w:val="DefaultParagraphFont"/>
    <w:link w:val="BodyTextIndent"/>
    <w:uiPriority w:val="99"/>
    <w:rsid w:val="00821386"/>
  </w:style>
  <w:style w:type="paragraph" w:styleId="BodyTextFirstIndent2">
    <w:name w:val="Body Text First Indent 2"/>
    <w:basedOn w:val="BodyTextIndent"/>
    <w:link w:val="BodyTextFirstIndent2Char"/>
    <w:uiPriority w:val="99"/>
    <w:unhideWhenUsed/>
    <w:rsid w:val="00821386"/>
    <w:pPr>
      <w:spacing w:after="160"/>
      <w:ind w:left="360" w:firstLine="360"/>
    </w:pPr>
  </w:style>
  <w:style w:type="character" w:customStyle="1" w:styleId="BodyTextFirstIndent2Char">
    <w:name w:val="Body Text First Indent 2 Char"/>
    <w:basedOn w:val="BodyTextIndentChar"/>
    <w:link w:val="BodyTextFirstIndent2"/>
    <w:uiPriority w:val="99"/>
    <w:rsid w:val="00821386"/>
  </w:style>
  <w:style w:type="paragraph" w:styleId="NormalWeb">
    <w:name w:val="Normal (Web)"/>
    <w:basedOn w:val="Normal"/>
    <w:uiPriority w:val="99"/>
    <w:unhideWhenUsed/>
    <w:rsid w:val="00821386"/>
    <w:rPr>
      <w:rFonts w:ascii="Times New Roman" w:hAnsi="Times New Roman" w:cs="Times New Roman"/>
      <w:szCs w:val="24"/>
    </w:rPr>
  </w:style>
  <w:style w:type="paragraph" w:styleId="PlainText">
    <w:name w:val="Plain Text"/>
    <w:basedOn w:val="Normal"/>
    <w:link w:val="PlainTextChar"/>
    <w:uiPriority w:val="99"/>
    <w:unhideWhenUsed/>
    <w:rsid w:val="0082138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1386"/>
    <w:rPr>
      <w:rFonts w:ascii="Consolas" w:hAnsi="Consolas"/>
      <w:sz w:val="21"/>
      <w:szCs w:val="21"/>
    </w:rPr>
  </w:style>
  <w:style w:type="paragraph" w:styleId="Title">
    <w:name w:val="Title"/>
    <w:basedOn w:val="Normal"/>
    <w:next w:val="Normal"/>
    <w:link w:val="TitleChar"/>
    <w:uiPriority w:val="10"/>
    <w:qFormat/>
    <w:rsid w:val="0082138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138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unhideWhenUsed/>
    <w:rsid w:val="00821386"/>
    <w:pPr>
      <w:spacing w:before="120"/>
    </w:pPr>
    <w:rPr>
      <w:rFonts w:asciiTheme="majorHAnsi" w:eastAsiaTheme="majorEastAsia" w:hAnsiTheme="majorHAnsi" w:cstheme="majorBidi"/>
      <w:b/>
      <w:bCs/>
      <w:szCs w:val="24"/>
    </w:rPr>
  </w:style>
  <w:style w:type="paragraph" w:customStyle="1" w:styleId="Cambria">
    <w:name w:val="Cambria"/>
    <w:basedOn w:val="BodyText"/>
    <w:rsid w:val="00821386"/>
  </w:style>
  <w:style w:type="character" w:customStyle="1" w:styleId="Heading1Char">
    <w:name w:val="Heading 1 Char"/>
    <w:basedOn w:val="DefaultParagraphFont"/>
    <w:link w:val="Heading1"/>
    <w:uiPriority w:val="9"/>
    <w:rsid w:val="00821386"/>
    <w:rPr>
      <w:rFonts w:ascii="Cambria" w:eastAsiaTheme="majorEastAsia" w:hAnsi="Cambria" w:cstheme="majorBidi"/>
      <w:color w:val="2F5496" w:themeColor="accent1" w:themeShade="BF"/>
      <w:sz w:val="32"/>
      <w:szCs w:val="32"/>
    </w:rPr>
  </w:style>
  <w:style w:type="character" w:customStyle="1" w:styleId="Heading2Char">
    <w:name w:val="Heading 2 Char"/>
    <w:basedOn w:val="DefaultParagraphFont"/>
    <w:link w:val="Heading2"/>
    <w:uiPriority w:val="9"/>
    <w:rsid w:val="00821386"/>
    <w:rPr>
      <w:rFonts w:ascii="Cambria" w:eastAsiaTheme="majorEastAsia" w:hAnsi="Cambria" w:cstheme="majorBidi"/>
      <w:color w:val="2F5496" w:themeColor="accent1" w:themeShade="BF"/>
      <w:sz w:val="26"/>
      <w:szCs w:val="26"/>
    </w:rPr>
  </w:style>
  <w:style w:type="character" w:customStyle="1" w:styleId="Heading3Char">
    <w:name w:val="Heading 3 Char"/>
    <w:basedOn w:val="DefaultParagraphFont"/>
    <w:link w:val="Heading3"/>
    <w:uiPriority w:val="9"/>
    <w:rsid w:val="00821386"/>
    <w:rPr>
      <w:rFonts w:ascii="Cambria" w:eastAsiaTheme="majorEastAsia" w:hAnsi="Cambria" w:cstheme="majorBidi"/>
      <w:color w:val="1F3763" w:themeColor="accent1" w:themeShade="7F"/>
      <w:sz w:val="24"/>
      <w:szCs w:val="24"/>
    </w:rPr>
  </w:style>
  <w:style w:type="paragraph" w:styleId="Bibliography">
    <w:name w:val="Bibliography"/>
    <w:basedOn w:val="Normal"/>
    <w:next w:val="Normal"/>
    <w:uiPriority w:val="37"/>
    <w:unhideWhenUsed/>
    <w:rsid w:val="009260F8"/>
  </w:style>
  <w:style w:type="character" w:styleId="CommentReference">
    <w:name w:val="annotation reference"/>
    <w:basedOn w:val="DefaultParagraphFont"/>
    <w:uiPriority w:val="99"/>
    <w:semiHidden/>
    <w:unhideWhenUsed/>
    <w:rsid w:val="004E149E"/>
    <w:rPr>
      <w:sz w:val="16"/>
      <w:szCs w:val="16"/>
    </w:rPr>
  </w:style>
  <w:style w:type="paragraph" w:styleId="CommentText">
    <w:name w:val="annotation text"/>
    <w:basedOn w:val="Normal"/>
    <w:link w:val="CommentTextChar"/>
    <w:uiPriority w:val="99"/>
    <w:semiHidden/>
    <w:unhideWhenUsed/>
    <w:rsid w:val="004E149E"/>
    <w:pPr>
      <w:spacing w:line="240" w:lineRule="auto"/>
    </w:pPr>
    <w:rPr>
      <w:sz w:val="20"/>
      <w:szCs w:val="20"/>
    </w:rPr>
  </w:style>
  <w:style w:type="character" w:customStyle="1" w:styleId="CommentTextChar">
    <w:name w:val="Comment Text Char"/>
    <w:basedOn w:val="DefaultParagraphFont"/>
    <w:link w:val="CommentText"/>
    <w:uiPriority w:val="99"/>
    <w:semiHidden/>
    <w:rsid w:val="004E149E"/>
    <w:rPr>
      <w:rFonts w:ascii="Cambria" w:hAnsi="Cambria"/>
      <w:sz w:val="20"/>
      <w:szCs w:val="20"/>
    </w:rPr>
  </w:style>
  <w:style w:type="paragraph" w:styleId="CommentSubject">
    <w:name w:val="annotation subject"/>
    <w:basedOn w:val="CommentText"/>
    <w:next w:val="CommentText"/>
    <w:link w:val="CommentSubjectChar"/>
    <w:uiPriority w:val="99"/>
    <w:semiHidden/>
    <w:unhideWhenUsed/>
    <w:rsid w:val="004E149E"/>
    <w:rPr>
      <w:b/>
      <w:bCs/>
    </w:rPr>
  </w:style>
  <w:style w:type="character" w:customStyle="1" w:styleId="CommentSubjectChar">
    <w:name w:val="Comment Subject Char"/>
    <w:basedOn w:val="CommentTextChar"/>
    <w:link w:val="CommentSubject"/>
    <w:uiPriority w:val="99"/>
    <w:semiHidden/>
    <w:rsid w:val="004E149E"/>
    <w:rPr>
      <w:rFonts w:ascii="Cambria" w:hAnsi="Cambria"/>
      <w:b/>
      <w:bCs/>
      <w:sz w:val="20"/>
      <w:szCs w:val="20"/>
    </w:rPr>
  </w:style>
  <w:style w:type="paragraph" w:styleId="Revision">
    <w:name w:val="Revision"/>
    <w:hidden/>
    <w:uiPriority w:val="99"/>
    <w:semiHidden/>
    <w:rsid w:val="00C51F1F"/>
    <w:pPr>
      <w:spacing w:after="0" w:line="240" w:lineRule="auto"/>
    </w:pPr>
    <w:rPr>
      <w:rFonts w:ascii="Cambria" w:hAnsi="Cambria"/>
    </w:rPr>
  </w:style>
  <w:style w:type="paragraph" w:styleId="EndnoteText">
    <w:name w:val="endnote text"/>
    <w:basedOn w:val="Normal"/>
    <w:link w:val="EndnoteTextChar"/>
    <w:uiPriority w:val="99"/>
    <w:semiHidden/>
    <w:unhideWhenUsed/>
    <w:rsid w:val="00690BD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90BD0"/>
    <w:rPr>
      <w:rFonts w:ascii="Cambria" w:hAnsi="Cambria"/>
      <w:sz w:val="20"/>
      <w:szCs w:val="20"/>
    </w:rPr>
  </w:style>
  <w:style w:type="character" w:styleId="EndnoteReference">
    <w:name w:val="endnote reference"/>
    <w:basedOn w:val="DefaultParagraphFont"/>
    <w:uiPriority w:val="99"/>
    <w:semiHidden/>
    <w:unhideWhenUsed/>
    <w:rsid w:val="00690B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82667">
      <w:bodyDiv w:val="1"/>
      <w:marLeft w:val="0"/>
      <w:marRight w:val="0"/>
      <w:marTop w:val="0"/>
      <w:marBottom w:val="0"/>
      <w:divBdr>
        <w:top w:val="none" w:sz="0" w:space="0" w:color="auto"/>
        <w:left w:val="none" w:sz="0" w:space="0" w:color="auto"/>
        <w:bottom w:val="none" w:sz="0" w:space="0" w:color="auto"/>
        <w:right w:val="none" w:sz="0" w:space="0" w:color="auto"/>
      </w:divBdr>
    </w:div>
    <w:div w:id="23332188">
      <w:bodyDiv w:val="1"/>
      <w:marLeft w:val="0"/>
      <w:marRight w:val="0"/>
      <w:marTop w:val="0"/>
      <w:marBottom w:val="0"/>
      <w:divBdr>
        <w:top w:val="none" w:sz="0" w:space="0" w:color="auto"/>
        <w:left w:val="none" w:sz="0" w:space="0" w:color="auto"/>
        <w:bottom w:val="none" w:sz="0" w:space="0" w:color="auto"/>
        <w:right w:val="none" w:sz="0" w:space="0" w:color="auto"/>
      </w:divBdr>
    </w:div>
    <w:div w:id="29841668">
      <w:bodyDiv w:val="1"/>
      <w:marLeft w:val="0"/>
      <w:marRight w:val="0"/>
      <w:marTop w:val="0"/>
      <w:marBottom w:val="0"/>
      <w:divBdr>
        <w:top w:val="none" w:sz="0" w:space="0" w:color="auto"/>
        <w:left w:val="none" w:sz="0" w:space="0" w:color="auto"/>
        <w:bottom w:val="none" w:sz="0" w:space="0" w:color="auto"/>
        <w:right w:val="none" w:sz="0" w:space="0" w:color="auto"/>
      </w:divBdr>
    </w:div>
    <w:div w:id="32968930">
      <w:bodyDiv w:val="1"/>
      <w:marLeft w:val="0"/>
      <w:marRight w:val="0"/>
      <w:marTop w:val="0"/>
      <w:marBottom w:val="0"/>
      <w:divBdr>
        <w:top w:val="none" w:sz="0" w:space="0" w:color="auto"/>
        <w:left w:val="none" w:sz="0" w:space="0" w:color="auto"/>
        <w:bottom w:val="none" w:sz="0" w:space="0" w:color="auto"/>
        <w:right w:val="none" w:sz="0" w:space="0" w:color="auto"/>
      </w:divBdr>
    </w:div>
    <w:div w:id="34626435">
      <w:bodyDiv w:val="1"/>
      <w:marLeft w:val="0"/>
      <w:marRight w:val="0"/>
      <w:marTop w:val="0"/>
      <w:marBottom w:val="0"/>
      <w:divBdr>
        <w:top w:val="none" w:sz="0" w:space="0" w:color="auto"/>
        <w:left w:val="none" w:sz="0" w:space="0" w:color="auto"/>
        <w:bottom w:val="none" w:sz="0" w:space="0" w:color="auto"/>
        <w:right w:val="none" w:sz="0" w:space="0" w:color="auto"/>
      </w:divBdr>
    </w:div>
    <w:div w:id="38361978">
      <w:bodyDiv w:val="1"/>
      <w:marLeft w:val="0"/>
      <w:marRight w:val="0"/>
      <w:marTop w:val="0"/>
      <w:marBottom w:val="0"/>
      <w:divBdr>
        <w:top w:val="none" w:sz="0" w:space="0" w:color="auto"/>
        <w:left w:val="none" w:sz="0" w:space="0" w:color="auto"/>
        <w:bottom w:val="none" w:sz="0" w:space="0" w:color="auto"/>
        <w:right w:val="none" w:sz="0" w:space="0" w:color="auto"/>
      </w:divBdr>
    </w:div>
    <w:div w:id="51006734">
      <w:bodyDiv w:val="1"/>
      <w:marLeft w:val="0"/>
      <w:marRight w:val="0"/>
      <w:marTop w:val="0"/>
      <w:marBottom w:val="0"/>
      <w:divBdr>
        <w:top w:val="none" w:sz="0" w:space="0" w:color="auto"/>
        <w:left w:val="none" w:sz="0" w:space="0" w:color="auto"/>
        <w:bottom w:val="none" w:sz="0" w:space="0" w:color="auto"/>
        <w:right w:val="none" w:sz="0" w:space="0" w:color="auto"/>
      </w:divBdr>
    </w:div>
    <w:div w:id="51511302">
      <w:bodyDiv w:val="1"/>
      <w:marLeft w:val="0"/>
      <w:marRight w:val="0"/>
      <w:marTop w:val="0"/>
      <w:marBottom w:val="0"/>
      <w:divBdr>
        <w:top w:val="none" w:sz="0" w:space="0" w:color="auto"/>
        <w:left w:val="none" w:sz="0" w:space="0" w:color="auto"/>
        <w:bottom w:val="none" w:sz="0" w:space="0" w:color="auto"/>
        <w:right w:val="none" w:sz="0" w:space="0" w:color="auto"/>
      </w:divBdr>
    </w:div>
    <w:div w:id="52773895">
      <w:bodyDiv w:val="1"/>
      <w:marLeft w:val="0"/>
      <w:marRight w:val="0"/>
      <w:marTop w:val="0"/>
      <w:marBottom w:val="0"/>
      <w:divBdr>
        <w:top w:val="none" w:sz="0" w:space="0" w:color="auto"/>
        <w:left w:val="none" w:sz="0" w:space="0" w:color="auto"/>
        <w:bottom w:val="none" w:sz="0" w:space="0" w:color="auto"/>
        <w:right w:val="none" w:sz="0" w:space="0" w:color="auto"/>
      </w:divBdr>
    </w:div>
    <w:div w:id="68357836">
      <w:bodyDiv w:val="1"/>
      <w:marLeft w:val="0"/>
      <w:marRight w:val="0"/>
      <w:marTop w:val="0"/>
      <w:marBottom w:val="0"/>
      <w:divBdr>
        <w:top w:val="none" w:sz="0" w:space="0" w:color="auto"/>
        <w:left w:val="none" w:sz="0" w:space="0" w:color="auto"/>
        <w:bottom w:val="none" w:sz="0" w:space="0" w:color="auto"/>
        <w:right w:val="none" w:sz="0" w:space="0" w:color="auto"/>
      </w:divBdr>
    </w:div>
    <w:div w:id="73403667">
      <w:bodyDiv w:val="1"/>
      <w:marLeft w:val="0"/>
      <w:marRight w:val="0"/>
      <w:marTop w:val="0"/>
      <w:marBottom w:val="0"/>
      <w:divBdr>
        <w:top w:val="none" w:sz="0" w:space="0" w:color="auto"/>
        <w:left w:val="none" w:sz="0" w:space="0" w:color="auto"/>
        <w:bottom w:val="none" w:sz="0" w:space="0" w:color="auto"/>
        <w:right w:val="none" w:sz="0" w:space="0" w:color="auto"/>
      </w:divBdr>
    </w:div>
    <w:div w:id="78329234">
      <w:bodyDiv w:val="1"/>
      <w:marLeft w:val="0"/>
      <w:marRight w:val="0"/>
      <w:marTop w:val="0"/>
      <w:marBottom w:val="0"/>
      <w:divBdr>
        <w:top w:val="none" w:sz="0" w:space="0" w:color="auto"/>
        <w:left w:val="none" w:sz="0" w:space="0" w:color="auto"/>
        <w:bottom w:val="none" w:sz="0" w:space="0" w:color="auto"/>
        <w:right w:val="none" w:sz="0" w:space="0" w:color="auto"/>
      </w:divBdr>
    </w:div>
    <w:div w:id="79447088">
      <w:bodyDiv w:val="1"/>
      <w:marLeft w:val="0"/>
      <w:marRight w:val="0"/>
      <w:marTop w:val="0"/>
      <w:marBottom w:val="0"/>
      <w:divBdr>
        <w:top w:val="none" w:sz="0" w:space="0" w:color="auto"/>
        <w:left w:val="none" w:sz="0" w:space="0" w:color="auto"/>
        <w:bottom w:val="none" w:sz="0" w:space="0" w:color="auto"/>
        <w:right w:val="none" w:sz="0" w:space="0" w:color="auto"/>
      </w:divBdr>
    </w:div>
    <w:div w:id="85003602">
      <w:bodyDiv w:val="1"/>
      <w:marLeft w:val="0"/>
      <w:marRight w:val="0"/>
      <w:marTop w:val="0"/>
      <w:marBottom w:val="0"/>
      <w:divBdr>
        <w:top w:val="none" w:sz="0" w:space="0" w:color="auto"/>
        <w:left w:val="none" w:sz="0" w:space="0" w:color="auto"/>
        <w:bottom w:val="none" w:sz="0" w:space="0" w:color="auto"/>
        <w:right w:val="none" w:sz="0" w:space="0" w:color="auto"/>
      </w:divBdr>
    </w:div>
    <w:div w:id="94374090">
      <w:bodyDiv w:val="1"/>
      <w:marLeft w:val="0"/>
      <w:marRight w:val="0"/>
      <w:marTop w:val="0"/>
      <w:marBottom w:val="0"/>
      <w:divBdr>
        <w:top w:val="none" w:sz="0" w:space="0" w:color="auto"/>
        <w:left w:val="none" w:sz="0" w:space="0" w:color="auto"/>
        <w:bottom w:val="none" w:sz="0" w:space="0" w:color="auto"/>
        <w:right w:val="none" w:sz="0" w:space="0" w:color="auto"/>
      </w:divBdr>
    </w:div>
    <w:div w:id="99108796">
      <w:bodyDiv w:val="1"/>
      <w:marLeft w:val="0"/>
      <w:marRight w:val="0"/>
      <w:marTop w:val="0"/>
      <w:marBottom w:val="0"/>
      <w:divBdr>
        <w:top w:val="none" w:sz="0" w:space="0" w:color="auto"/>
        <w:left w:val="none" w:sz="0" w:space="0" w:color="auto"/>
        <w:bottom w:val="none" w:sz="0" w:space="0" w:color="auto"/>
        <w:right w:val="none" w:sz="0" w:space="0" w:color="auto"/>
      </w:divBdr>
    </w:div>
    <w:div w:id="102648913">
      <w:bodyDiv w:val="1"/>
      <w:marLeft w:val="0"/>
      <w:marRight w:val="0"/>
      <w:marTop w:val="0"/>
      <w:marBottom w:val="0"/>
      <w:divBdr>
        <w:top w:val="none" w:sz="0" w:space="0" w:color="auto"/>
        <w:left w:val="none" w:sz="0" w:space="0" w:color="auto"/>
        <w:bottom w:val="none" w:sz="0" w:space="0" w:color="auto"/>
        <w:right w:val="none" w:sz="0" w:space="0" w:color="auto"/>
      </w:divBdr>
    </w:div>
    <w:div w:id="107237144">
      <w:bodyDiv w:val="1"/>
      <w:marLeft w:val="0"/>
      <w:marRight w:val="0"/>
      <w:marTop w:val="0"/>
      <w:marBottom w:val="0"/>
      <w:divBdr>
        <w:top w:val="none" w:sz="0" w:space="0" w:color="auto"/>
        <w:left w:val="none" w:sz="0" w:space="0" w:color="auto"/>
        <w:bottom w:val="none" w:sz="0" w:space="0" w:color="auto"/>
        <w:right w:val="none" w:sz="0" w:space="0" w:color="auto"/>
      </w:divBdr>
    </w:div>
    <w:div w:id="108427767">
      <w:bodyDiv w:val="1"/>
      <w:marLeft w:val="0"/>
      <w:marRight w:val="0"/>
      <w:marTop w:val="0"/>
      <w:marBottom w:val="0"/>
      <w:divBdr>
        <w:top w:val="none" w:sz="0" w:space="0" w:color="auto"/>
        <w:left w:val="none" w:sz="0" w:space="0" w:color="auto"/>
        <w:bottom w:val="none" w:sz="0" w:space="0" w:color="auto"/>
        <w:right w:val="none" w:sz="0" w:space="0" w:color="auto"/>
      </w:divBdr>
    </w:div>
    <w:div w:id="110634591">
      <w:bodyDiv w:val="1"/>
      <w:marLeft w:val="0"/>
      <w:marRight w:val="0"/>
      <w:marTop w:val="0"/>
      <w:marBottom w:val="0"/>
      <w:divBdr>
        <w:top w:val="none" w:sz="0" w:space="0" w:color="auto"/>
        <w:left w:val="none" w:sz="0" w:space="0" w:color="auto"/>
        <w:bottom w:val="none" w:sz="0" w:space="0" w:color="auto"/>
        <w:right w:val="none" w:sz="0" w:space="0" w:color="auto"/>
      </w:divBdr>
    </w:div>
    <w:div w:id="116724488">
      <w:bodyDiv w:val="1"/>
      <w:marLeft w:val="0"/>
      <w:marRight w:val="0"/>
      <w:marTop w:val="0"/>
      <w:marBottom w:val="0"/>
      <w:divBdr>
        <w:top w:val="none" w:sz="0" w:space="0" w:color="auto"/>
        <w:left w:val="none" w:sz="0" w:space="0" w:color="auto"/>
        <w:bottom w:val="none" w:sz="0" w:space="0" w:color="auto"/>
        <w:right w:val="none" w:sz="0" w:space="0" w:color="auto"/>
      </w:divBdr>
    </w:div>
    <w:div w:id="117263452">
      <w:bodyDiv w:val="1"/>
      <w:marLeft w:val="0"/>
      <w:marRight w:val="0"/>
      <w:marTop w:val="0"/>
      <w:marBottom w:val="0"/>
      <w:divBdr>
        <w:top w:val="none" w:sz="0" w:space="0" w:color="auto"/>
        <w:left w:val="none" w:sz="0" w:space="0" w:color="auto"/>
        <w:bottom w:val="none" w:sz="0" w:space="0" w:color="auto"/>
        <w:right w:val="none" w:sz="0" w:space="0" w:color="auto"/>
      </w:divBdr>
    </w:div>
    <w:div w:id="129057577">
      <w:bodyDiv w:val="1"/>
      <w:marLeft w:val="0"/>
      <w:marRight w:val="0"/>
      <w:marTop w:val="0"/>
      <w:marBottom w:val="0"/>
      <w:divBdr>
        <w:top w:val="none" w:sz="0" w:space="0" w:color="auto"/>
        <w:left w:val="none" w:sz="0" w:space="0" w:color="auto"/>
        <w:bottom w:val="none" w:sz="0" w:space="0" w:color="auto"/>
        <w:right w:val="none" w:sz="0" w:space="0" w:color="auto"/>
      </w:divBdr>
    </w:div>
    <w:div w:id="135999934">
      <w:bodyDiv w:val="1"/>
      <w:marLeft w:val="0"/>
      <w:marRight w:val="0"/>
      <w:marTop w:val="0"/>
      <w:marBottom w:val="0"/>
      <w:divBdr>
        <w:top w:val="none" w:sz="0" w:space="0" w:color="auto"/>
        <w:left w:val="none" w:sz="0" w:space="0" w:color="auto"/>
        <w:bottom w:val="none" w:sz="0" w:space="0" w:color="auto"/>
        <w:right w:val="none" w:sz="0" w:space="0" w:color="auto"/>
      </w:divBdr>
    </w:div>
    <w:div w:id="142895332">
      <w:bodyDiv w:val="1"/>
      <w:marLeft w:val="0"/>
      <w:marRight w:val="0"/>
      <w:marTop w:val="0"/>
      <w:marBottom w:val="0"/>
      <w:divBdr>
        <w:top w:val="none" w:sz="0" w:space="0" w:color="auto"/>
        <w:left w:val="none" w:sz="0" w:space="0" w:color="auto"/>
        <w:bottom w:val="none" w:sz="0" w:space="0" w:color="auto"/>
        <w:right w:val="none" w:sz="0" w:space="0" w:color="auto"/>
      </w:divBdr>
    </w:div>
    <w:div w:id="147017795">
      <w:bodyDiv w:val="1"/>
      <w:marLeft w:val="0"/>
      <w:marRight w:val="0"/>
      <w:marTop w:val="0"/>
      <w:marBottom w:val="0"/>
      <w:divBdr>
        <w:top w:val="none" w:sz="0" w:space="0" w:color="auto"/>
        <w:left w:val="none" w:sz="0" w:space="0" w:color="auto"/>
        <w:bottom w:val="none" w:sz="0" w:space="0" w:color="auto"/>
        <w:right w:val="none" w:sz="0" w:space="0" w:color="auto"/>
      </w:divBdr>
    </w:div>
    <w:div w:id="147941943">
      <w:bodyDiv w:val="1"/>
      <w:marLeft w:val="0"/>
      <w:marRight w:val="0"/>
      <w:marTop w:val="0"/>
      <w:marBottom w:val="0"/>
      <w:divBdr>
        <w:top w:val="none" w:sz="0" w:space="0" w:color="auto"/>
        <w:left w:val="none" w:sz="0" w:space="0" w:color="auto"/>
        <w:bottom w:val="none" w:sz="0" w:space="0" w:color="auto"/>
        <w:right w:val="none" w:sz="0" w:space="0" w:color="auto"/>
      </w:divBdr>
    </w:div>
    <w:div w:id="152374019">
      <w:bodyDiv w:val="1"/>
      <w:marLeft w:val="0"/>
      <w:marRight w:val="0"/>
      <w:marTop w:val="0"/>
      <w:marBottom w:val="0"/>
      <w:divBdr>
        <w:top w:val="none" w:sz="0" w:space="0" w:color="auto"/>
        <w:left w:val="none" w:sz="0" w:space="0" w:color="auto"/>
        <w:bottom w:val="none" w:sz="0" w:space="0" w:color="auto"/>
        <w:right w:val="none" w:sz="0" w:space="0" w:color="auto"/>
      </w:divBdr>
    </w:div>
    <w:div w:id="153031243">
      <w:bodyDiv w:val="1"/>
      <w:marLeft w:val="0"/>
      <w:marRight w:val="0"/>
      <w:marTop w:val="0"/>
      <w:marBottom w:val="0"/>
      <w:divBdr>
        <w:top w:val="none" w:sz="0" w:space="0" w:color="auto"/>
        <w:left w:val="none" w:sz="0" w:space="0" w:color="auto"/>
        <w:bottom w:val="none" w:sz="0" w:space="0" w:color="auto"/>
        <w:right w:val="none" w:sz="0" w:space="0" w:color="auto"/>
      </w:divBdr>
    </w:div>
    <w:div w:id="153180039">
      <w:bodyDiv w:val="1"/>
      <w:marLeft w:val="0"/>
      <w:marRight w:val="0"/>
      <w:marTop w:val="0"/>
      <w:marBottom w:val="0"/>
      <w:divBdr>
        <w:top w:val="none" w:sz="0" w:space="0" w:color="auto"/>
        <w:left w:val="none" w:sz="0" w:space="0" w:color="auto"/>
        <w:bottom w:val="none" w:sz="0" w:space="0" w:color="auto"/>
        <w:right w:val="none" w:sz="0" w:space="0" w:color="auto"/>
      </w:divBdr>
    </w:div>
    <w:div w:id="153569924">
      <w:bodyDiv w:val="1"/>
      <w:marLeft w:val="0"/>
      <w:marRight w:val="0"/>
      <w:marTop w:val="0"/>
      <w:marBottom w:val="0"/>
      <w:divBdr>
        <w:top w:val="none" w:sz="0" w:space="0" w:color="auto"/>
        <w:left w:val="none" w:sz="0" w:space="0" w:color="auto"/>
        <w:bottom w:val="none" w:sz="0" w:space="0" w:color="auto"/>
        <w:right w:val="none" w:sz="0" w:space="0" w:color="auto"/>
      </w:divBdr>
    </w:div>
    <w:div w:id="157427620">
      <w:bodyDiv w:val="1"/>
      <w:marLeft w:val="0"/>
      <w:marRight w:val="0"/>
      <w:marTop w:val="0"/>
      <w:marBottom w:val="0"/>
      <w:divBdr>
        <w:top w:val="none" w:sz="0" w:space="0" w:color="auto"/>
        <w:left w:val="none" w:sz="0" w:space="0" w:color="auto"/>
        <w:bottom w:val="none" w:sz="0" w:space="0" w:color="auto"/>
        <w:right w:val="none" w:sz="0" w:space="0" w:color="auto"/>
      </w:divBdr>
    </w:div>
    <w:div w:id="159852979">
      <w:bodyDiv w:val="1"/>
      <w:marLeft w:val="0"/>
      <w:marRight w:val="0"/>
      <w:marTop w:val="0"/>
      <w:marBottom w:val="0"/>
      <w:divBdr>
        <w:top w:val="none" w:sz="0" w:space="0" w:color="auto"/>
        <w:left w:val="none" w:sz="0" w:space="0" w:color="auto"/>
        <w:bottom w:val="none" w:sz="0" w:space="0" w:color="auto"/>
        <w:right w:val="none" w:sz="0" w:space="0" w:color="auto"/>
      </w:divBdr>
    </w:div>
    <w:div w:id="163060167">
      <w:bodyDiv w:val="1"/>
      <w:marLeft w:val="0"/>
      <w:marRight w:val="0"/>
      <w:marTop w:val="0"/>
      <w:marBottom w:val="0"/>
      <w:divBdr>
        <w:top w:val="none" w:sz="0" w:space="0" w:color="auto"/>
        <w:left w:val="none" w:sz="0" w:space="0" w:color="auto"/>
        <w:bottom w:val="none" w:sz="0" w:space="0" w:color="auto"/>
        <w:right w:val="none" w:sz="0" w:space="0" w:color="auto"/>
      </w:divBdr>
    </w:div>
    <w:div w:id="166797304">
      <w:bodyDiv w:val="1"/>
      <w:marLeft w:val="0"/>
      <w:marRight w:val="0"/>
      <w:marTop w:val="0"/>
      <w:marBottom w:val="0"/>
      <w:divBdr>
        <w:top w:val="none" w:sz="0" w:space="0" w:color="auto"/>
        <w:left w:val="none" w:sz="0" w:space="0" w:color="auto"/>
        <w:bottom w:val="none" w:sz="0" w:space="0" w:color="auto"/>
        <w:right w:val="none" w:sz="0" w:space="0" w:color="auto"/>
      </w:divBdr>
    </w:div>
    <w:div w:id="169609720">
      <w:bodyDiv w:val="1"/>
      <w:marLeft w:val="0"/>
      <w:marRight w:val="0"/>
      <w:marTop w:val="0"/>
      <w:marBottom w:val="0"/>
      <w:divBdr>
        <w:top w:val="none" w:sz="0" w:space="0" w:color="auto"/>
        <w:left w:val="none" w:sz="0" w:space="0" w:color="auto"/>
        <w:bottom w:val="none" w:sz="0" w:space="0" w:color="auto"/>
        <w:right w:val="none" w:sz="0" w:space="0" w:color="auto"/>
      </w:divBdr>
    </w:div>
    <w:div w:id="177697638">
      <w:bodyDiv w:val="1"/>
      <w:marLeft w:val="0"/>
      <w:marRight w:val="0"/>
      <w:marTop w:val="0"/>
      <w:marBottom w:val="0"/>
      <w:divBdr>
        <w:top w:val="none" w:sz="0" w:space="0" w:color="auto"/>
        <w:left w:val="none" w:sz="0" w:space="0" w:color="auto"/>
        <w:bottom w:val="none" w:sz="0" w:space="0" w:color="auto"/>
        <w:right w:val="none" w:sz="0" w:space="0" w:color="auto"/>
      </w:divBdr>
    </w:div>
    <w:div w:id="180170981">
      <w:bodyDiv w:val="1"/>
      <w:marLeft w:val="0"/>
      <w:marRight w:val="0"/>
      <w:marTop w:val="0"/>
      <w:marBottom w:val="0"/>
      <w:divBdr>
        <w:top w:val="none" w:sz="0" w:space="0" w:color="auto"/>
        <w:left w:val="none" w:sz="0" w:space="0" w:color="auto"/>
        <w:bottom w:val="none" w:sz="0" w:space="0" w:color="auto"/>
        <w:right w:val="none" w:sz="0" w:space="0" w:color="auto"/>
      </w:divBdr>
    </w:div>
    <w:div w:id="191963329">
      <w:bodyDiv w:val="1"/>
      <w:marLeft w:val="0"/>
      <w:marRight w:val="0"/>
      <w:marTop w:val="0"/>
      <w:marBottom w:val="0"/>
      <w:divBdr>
        <w:top w:val="none" w:sz="0" w:space="0" w:color="auto"/>
        <w:left w:val="none" w:sz="0" w:space="0" w:color="auto"/>
        <w:bottom w:val="none" w:sz="0" w:space="0" w:color="auto"/>
        <w:right w:val="none" w:sz="0" w:space="0" w:color="auto"/>
      </w:divBdr>
    </w:div>
    <w:div w:id="196889410">
      <w:bodyDiv w:val="1"/>
      <w:marLeft w:val="0"/>
      <w:marRight w:val="0"/>
      <w:marTop w:val="0"/>
      <w:marBottom w:val="0"/>
      <w:divBdr>
        <w:top w:val="none" w:sz="0" w:space="0" w:color="auto"/>
        <w:left w:val="none" w:sz="0" w:space="0" w:color="auto"/>
        <w:bottom w:val="none" w:sz="0" w:space="0" w:color="auto"/>
        <w:right w:val="none" w:sz="0" w:space="0" w:color="auto"/>
      </w:divBdr>
    </w:div>
    <w:div w:id="204830395">
      <w:bodyDiv w:val="1"/>
      <w:marLeft w:val="0"/>
      <w:marRight w:val="0"/>
      <w:marTop w:val="0"/>
      <w:marBottom w:val="0"/>
      <w:divBdr>
        <w:top w:val="none" w:sz="0" w:space="0" w:color="auto"/>
        <w:left w:val="none" w:sz="0" w:space="0" w:color="auto"/>
        <w:bottom w:val="none" w:sz="0" w:space="0" w:color="auto"/>
        <w:right w:val="none" w:sz="0" w:space="0" w:color="auto"/>
      </w:divBdr>
    </w:div>
    <w:div w:id="210313211">
      <w:bodyDiv w:val="1"/>
      <w:marLeft w:val="0"/>
      <w:marRight w:val="0"/>
      <w:marTop w:val="0"/>
      <w:marBottom w:val="0"/>
      <w:divBdr>
        <w:top w:val="none" w:sz="0" w:space="0" w:color="auto"/>
        <w:left w:val="none" w:sz="0" w:space="0" w:color="auto"/>
        <w:bottom w:val="none" w:sz="0" w:space="0" w:color="auto"/>
        <w:right w:val="none" w:sz="0" w:space="0" w:color="auto"/>
      </w:divBdr>
    </w:div>
    <w:div w:id="214853482">
      <w:bodyDiv w:val="1"/>
      <w:marLeft w:val="0"/>
      <w:marRight w:val="0"/>
      <w:marTop w:val="0"/>
      <w:marBottom w:val="0"/>
      <w:divBdr>
        <w:top w:val="none" w:sz="0" w:space="0" w:color="auto"/>
        <w:left w:val="none" w:sz="0" w:space="0" w:color="auto"/>
        <w:bottom w:val="none" w:sz="0" w:space="0" w:color="auto"/>
        <w:right w:val="none" w:sz="0" w:space="0" w:color="auto"/>
      </w:divBdr>
    </w:div>
    <w:div w:id="262302762">
      <w:bodyDiv w:val="1"/>
      <w:marLeft w:val="0"/>
      <w:marRight w:val="0"/>
      <w:marTop w:val="0"/>
      <w:marBottom w:val="0"/>
      <w:divBdr>
        <w:top w:val="none" w:sz="0" w:space="0" w:color="auto"/>
        <w:left w:val="none" w:sz="0" w:space="0" w:color="auto"/>
        <w:bottom w:val="none" w:sz="0" w:space="0" w:color="auto"/>
        <w:right w:val="none" w:sz="0" w:space="0" w:color="auto"/>
      </w:divBdr>
    </w:div>
    <w:div w:id="271978057">
      <w:bodyDiv w:val="1"/>
      <w:marLeft w:val="0"/>
      <w:marRight w:val="0"/>
      <w:marTop w:val="0"/>
      <w:marBottom w:val="0"/>
      <w:divBdr>
        <w:top w:val="none" w:sz="0" w:space="0" w:color="auto"/>
        <w:left w:val="none" w:sz="0" w:space="0" w:color="auto"/>
        <w:bottom w:val="none" w:sz="0" w:space="0" w:color="auto"/>
        <w:right w:val="none" w:sz="0" w:space="0" w:color="auto"/>
      </w:divBdr>
    </w:div>
    <w:div w:id="277764230">
      <w:bodyDiv w:val="1"/>
      <w:marLeft w:val="0"/>
      <w:marRight w:val="0"/>
      <w:marTop w:val="0"/>
      <w:marBottom w:val="0"/>
      <w:divBdr>
        <w:top w:val="none" w:sz="0" w:space="0" w:color="auto"/>
        <w:left w:val="none" w:sz="0" w:space="0" w:color="auto"/>
        <w:bottom w:val="none" w:sz="0" w:space="0" w:color="auto"/>
        <w:right w:val="none" w:sz="0" w:space="0" w:color="auto"/>
      </w:divBdr>
    </w:div>
    <w:div w:id="284117141">
      <w:bodyDiv w:val="1"/>
      <w:marLeft w:val="0"/>
      <w:marRight w:val="0"/>
      <w:marTop w:val="0"/>
      <w:marBottom w:val="0"/>
      <w:divBdr>
        <w:top w:val="none" w:sz="0" w:space="0" w:color="auto"/>
        <w:left w:val="none" w:sz="0" w:space="0" w:color="auto"/>
        <w:bottom w:val="none" w:sz="0" w:space="0" w:color="auto"/>
        <w:right w:val="none" w:sz="0" w:space="0" w:color="auto"/>
      </w:divBdr>
    </w:div>
    <w:div w:id="292254148">
      <w:bodyDiv w:val="1"/>
      <w:marLeft w:val="0"/>
      <w:marRight w:val="0"/>
      <w:marTop w:val="0"/>
      <w:marBottom w:val="0"/>
      <w:divBdr>
        <w:top w:val="none" w:sz="0" w:space="0" w:color="auto"/>
        <w:left w:val="none" w:sz="0" w:space="0" w:color="auto"/>
        <w:bottom w:val="none" w:sz="0" w:space="0" w:color="auto"/>
        <w:right w:val="none" w:sz="0" w:space="0" w:color="auto"/>
      </w:divBdr>
    </w:div>
    <w:div w:id="302657018">
      <w:bodyDiv w:val="1"/>
      <w:marLeft w:val="0"/>
      <w:marRight w:val="0"/>
      <w:marTop w:val="0"/>
      <w:marBottom w:val="0"/>
      <w:divBdr>
        <w:top w:val="none" w:sz="0" w:space="0" w:color="auto"/>
        <w:left w:val="none" w:sz="0" w:space="0" w:color="auto"/>
        <w:bottom w:val="none" w:sz="0" w:space="0" w:color="auto"/>
        <w:right w:val="none" w:sz="0" w:space="0" w:color="auto"/>
      </w:divBdr>
    </w:div>
    <w:div w:id="308366547">
      <w:bodyDiv w:val="1"/>
      <w:marLeft w:val="0"/>
      <w:marRight w:val="0"/>
      <w:marTop w:val="0"/>
      <w:marBottom w:val="0"/>
      <w:divBdr>
        <w:top w:val="none" w:sz="0" w:space="0" w:color="auto"/>
        <w:left w:val="none" w:sz="0" w:space="0" w:color="auto"/>
        <w:bottom w:val="none" w:sz="0" w:space="0" w:color="auto"/>
        <w:right w:val="none" w:sz="0" w:space="0" w:color="auto"/>
      </w:divBdr>
    </w:div>
    <w:div w:id="334310511">
      <w:bodyDiv w:val="1"/>
      <w:marLeft w:val="0"/>
      <w:marRight w:val="0"/>
      <w:marTop w:val="0"/>
      <w:marBottom w:val="0"/>
      <w:divBdr>
        <w:top w:val="none" w:sz="0" w:space="0" w:color="auto"/>
        <w:left w:val="none" w:sz="0" w:space="0" w:color="auto"/>
        <w:bottom w:val="none" w:sz="0" w:space="0" w:color="auto"/>
        <w:right w:val="none" w:sz="0" w:space="0" w:color="auto"/>
      </w:divBdr>
    </w:div>
    <w:div w:id="342243893">
      <w:bodyDiv w:val="1"/>
      <w:marLeft w:val="0"/>
      <w:marRight w:val="0"/>
      <w:marTop w:val="0"/>
      <w:marBottom w:val="0"/>
      <w:divBdr>
        <w:top w:val="none" w:sz="0" w:space="0" w:color="auto"/>
        <w:left w:val="none" w:sz="0" w:space="0" w:color="auto"/>
        <w:bottom w:val="none" w:sz="0" w:space="0" w:color="auto"/>
        <w:right w:val="none" w:sz="0" w:space="0" w:color="auto"/>
      </w:divBdr>
    </w:div>
    <w:div w:id="345864138">
      <w:bodyDiv w:val="1"/>
      <w:marLeft w:val="0"/>
      <w:marRight w:val="0"/>
      <w:marTop w:val="0"/>
      <w:marBottom w:val="0"/>
      <w:divBdr>
        <w:top w:val="none" w:sz="0" w:space="0" w:color="auto"/>
        <w:left w:val="none" w:sz="0" w:space="0" w:color="auto"/>
        <w:bottom w:val="none" w:sz="0" w:space="0" w:color="auto"/>
        <w:right w:val="none" w:sz="0" w:space="0" w:color="auto"/>
      </w:divBdr>
    </w:div>
    <w:div w:id="346564148">
      <w:bodyDiv w:val="1"/>
      <w:marLeft w:val="0"/>
      <w:marRight w:val="0"/>
      <w:marTop w:val="0"/>
      <w:marBottom w:val="0"/>
      <w:divBdr>
        <w:top w:val="none" w:sz="0" w:space="0" w:color="auto"/>
        <w:left w:val="none" w:sz="0" w:space="0" w:color="auto"/>
        <w:bottom w:val="none" w:sz="0" w:space="0" w:color="auto"/>
        <w:right w:val="none" w:sz="0" w:space="0" w:color="auto"/>
      </w:divBdr>
    </w:div>
    <w:div w:id="346952476">
      <w:bodyDiv w:val="1"/>
      <w:marLeft w:val="0"/>
      <w:marRight w:val="0"/>
      <w:marTop w:val="0"/>
      <w:marBottom w:val="0"/>
      <w:divBdr>
        <w:top w:val="none" w:sz="0" w:space="0" w:color="auto"/>
        <w:left w:val="none" w:sz="0" w:space="0" w:color="auto"/>
        <w:bottom w:val="none" w:sz="0" w:space="0" w:color="auto"/>
        <w:right w:val="none" w:sz="0" w:space="0" w:color="auto"/>
      </w:divBdr>
    </w:div>
    <w:div w:id="349651854">
      <w:bodyDiv w:val="1"/>
      <w:marLeft w:val="0"/>
      <w:marRight w:val="0"/>
      <w:marTop w:val="0"/>
      <w:marBottom w:val="0"/>
      <w:divBdr>
        <w:top w:val="none" w:sz="0" w:space="0" w:color="auto"/>
        <w:left w:val="none" w:sz="0" w:space="0" w:color="auto"/>
        <w:bottom w:val="none" w:sz="0" w:space="0" w:color="auto"/>
        <w:right w:val="none" w:sz="0" w:space="0" w:color="auto"/>
      </w:divBdr>
    </w:div>
    <w:div w:id="350844036">
      <w:bodyDiv w:val="1"/>
      <w:marLeft w:val="0"/>
      <w:marRight w:val="0"/>
      <w:marTop w:val="0"/>
      <w:marBottom w:val="0"/>
      <w:divBdr>
        <w:top w:val="none" w:sz="0" w:space="0" w:color="auto"/>
        <w:left w:val="none" w:sz="0" w:space="0" w:color="auto"/>
        <w:bottom w:val="none" w:sz="0" w:space="0" w:color="auto"/>
        <w:right w:val="none" w:sz="0" w:space="0" w:color="auto"/>
      </w:divBdr>
    </w:div>
    <w:div w:id="351417000">
      <w:bodyDiv w:val="1"/>
      <w:marLeft w:val="0"/>
      <w:marRight w:val="0"/>
      <w:marTop w:val="0"/>
      <w:marBottom w:val="0"/>
      <w:divBdr>
        <w:top w:val="none" w:sz="0" w:space="0" w:color="auto"/>
        <w:left w:val="none" w:sz="0" w:space="0" w:color="auto"/>
        <w:bottom w:val="none" w:sz="0" w:space="0" w:color="auto"/>
        <w:right w:val="none" w:sz="0" w:space="0" w:color="auto"/>
      </w:divBdr>
    </w:div>
    <w:div w:id="383454491">
      <w:bodyDiv w:val="1"/>
      <w:marLeft w:val="0"/>
      <w:marRight w:val="0"/>
      <w:marTop w:val="0"/>
      <w:marBottom w:val="0"/>
      <w:divBdr>
        <w:top w:val="none" w:sz="0" w:space="0" w:color="auto"/>
        <w:left w:val="none" w:sz="0" w:space="0" w:color="auto"/>
        <w:bottom w:val="none" w:sz="0" w:space="0" w:color="auto"/>
        <w:right w:val="none" w:sz="0" w:space="0" w:color="auto"/>
      </w:divBdr>
    </w:div>
    <w:div w:id="388071157">
      <w:bodyDiv w:val="1"/>
      <w:marLeft w:val="0"/>
      <w:marRight w:val="0"/>
      <w:marTop w:val="0"/>
      <w:marBottom w:val="0"/>
      <w:divBdr>
        <w:top w:val="none" w:sz="0" w:space="0" w:color="auto"/>
        <w:left w:val="none" w:sz="0" w:space="0" w:color="auto"/>
        <w:bottom w:val="none" w:sz="0" w:space="0" w:color="auto"/>
        <w:right w:val="none" w:sz="0" w:space="0" w:color="auto"/>
      </w:divBdr>
    </w:div>
    <w:div w:id="391657638">
      <w:bodyDiv w:val="1"/>
      <w:marLeft w:val="0"/>
      <w:marRight w:val="0"/>
      <w:marTop w:val="0"/>
      <w:marBottom w:val="0"/>
      <w:divBdr>
        <w:top w:val="none" w:sz="0" w:space="0" w:color="auto"/>
        <w:left w:val="none" w:sz="0" w:space="0" w:color="auto"/>
        <w:bottom w:val="none" w:sz="0" w:space="0" w:color="auto"/>
        <w:right w:val="none" w:sz="0" w:space="0" w:color="auto"/>
      </w:divBdr>
    </w:div>
    <w:div w:id="395587846">
      <w:bodyDiv w:val="1"/>
      <w:marLeft w:val="0"/>
      <w:marRight w:val="0"/>
      <w:marTop w:val="0"/>
      <w:marBottom w:val="0"/>
      <w:divBdr>
        <w:top w:val="none" w:sz="0" w:space="0" w:color="auto"/>
        <w:left w:val="none" w:sz="0" w:space="0" w:color="auto"/>
        <w:bottom w:val="none" w:sz="0" w:space="0" w:color="auto"/>
        <w:right w:val="none" w:sz="0" w:space="0" w:color="auto"/>
      </w:divBdr>
    </w:div>
    <w:div w:id="396056080">
      <w:bodyDiv w:val="1"/>
      <w:marLeft w:val="0"/>
      <w:marRight w:val="0"/>
      <w:marTop w:val="0"/>
      <w:marBottom w:val="0"/>
      <w:divBdr>
        <w:top w:val="none" w:sz="0" w:space="0" w:color="auto"/>
        <w:left w:val="none" w:sz="0" w:space="0" w:color="auto"/>
        <w:bottom w:val="none" w:sz="0" w:space="0" w:color="auto"/>
        <w:right w:val="none" w:sz="0" w:space="0" w:color="auto"/>
      </w:divBdr>
    </w:div>
    <w:div w:id="405421971">
      <w:bodyDiv w:val="1"/>
      <w:marLeft w:val="0"/>
      <w:marRight w:val="0"/>
      <w:marTop w:val="0"/>
      <w:marBottom w:val="0"/>
      <w:divBdr>
        <w:top w:val="none" w:sz="0" w:space="0" w:color="auto"/>
        <w:left w:val="none" w:sz="0" w:space="0" w:color="auto"/>
        <w:bottom w:val="none" w:sz="0" w:space="0" w:color="auto"/>
        <w:right w:val="none" w:sz="0" w:space="0" w:color="auto"/>
      </w:divBdr>
    </w:div>
    <w:div w:id="407507614">
      <w:bodyDiv w:val="1"/>
      <w:marLeft w:val="0"/>
      <w:marRight w:val="0"/>
      <w:marTop w:val="0"/>
      <w:marBottom w:val="0"/>
      <w:divBdr>
        <w:top w:val="none" w:sz="0" w:space="0" w:color="auto"/>
        <w:left w:val="none" w:sz="0" w:space="0" w:color="auto"/>
        <w:bottom w:val="none" w:sz="0" w:space="0" w:color="auto"/>
        <w:right w:val="none" w:sz="0" w:space="0" w:color="auto"/>
      </w:divBdr>
    </w:div>
    <w:div w:id="410928849">
      <w:bodyDiv w:val="1"/>
      <w:marLeft w:val="0"/>
      <w:marRight w:val="0"/>
      <w:marTop w:val="0"/>
      <w:marBottom w:val="0"/>
      <w:divBdr>
        <w:top w:val="none" w:sz="0" w:space="0" w:color="auto"/>
        <w:left w:val="none" w:sz="0" w:space="0" w:color="auto"/>
        <w:bottom w:val="none" w:sz="0" w:space="0" w:color="auto"/>
        <w:right w:val="none" w:sz="0" w:space="0" w:color="auto"/>
      </w:divBdr>
    </w:div>
    <w:div w:id="415439383">
      <w:bodyDiv w:val="1"/>
      <w:marLeft w:val="0"/>
      <w:marRight w:val="0"/>
      <w:marTop w:val="0"/>
      <w:marBottom w:val="0"/>
      <w:divBdr>
        <w:top w:val="none" w:sz="0" w:space="0" w:color="auto"/>
        <w:left w:val="none" w:sz="0" w:space="0" w:color="auto"/>
        <w:bottom w:val="none" w:sz="0" w:space="0" w:color="auto"/>
        <w:right w:val="none" w:sz="0" w:space="0" w:color="auto"/>
      </w:divBdr>
    </w:div>
    <w:div w:id="419254303">
      <w:bodyDiv w:val="1"/>
      <w:marLeft w:val="0"/>
      <w:marRight w:val="0"/>
      <w:marTop w:val="0"/>
      <w:marBottom w:val="0"/>
      <w:divBdr>
        <w:top w:val="none" w:sz="0" w:space="0" w:color="auto"/>
        <w:left w:val="none" w:sz="0" w:space="0" w:color="auto"/>
        <w:bottom w:val="none" w:sz="0" w:space="0" w:color="auto"/>
        <w:right w:val="none" w:sz="0" w:space="0" w:color="auto"/>
      </w:divBdr>
    </w:div>
    <w:div w:id="419911553">
      <w:bodyDiv w:val="1"/>
      <w:marLeft w:val="0"/>
      <w:marRight w:val="0"/>
      <w:marTop w:val="0"/>
      <w:marBottom w:val="0"/>
      <w:divBdr>
        <w:top w:val="none" w:sz="0" w:space="0" w:color="auto"/>
        <w:left w:val="none" w:sz="0" w:space="0" w:color="auto"/>
        <w:bottom w:val="none" w:sz="0" w:space="0" w:color="auto"/>
        <w:right w:val="none" w:sz="0" w:space="0" w:color="auto"/>
      </w:divBdr>
    </w:div>
    <w:div w:id="420295433">
      <w:bodyDiv w:val="1"/>
      <w:marLeft w:val="0"/>
      <w:marRight w:val="0"/>
      <w:marTop w:val="0"/>
      <w:marBottom w:val="0"/>
      <w:divBdr>
        <w:top w:val="none" w:sz="0" w:space="0" w:color="auto"/>
        <w:left w:val="none" w:sz="0" w:space="0" w:color="auto"/>
        <w:bottom w:val="none" w:sz="0" w:space="0" w:color="auto"/>
        <w:right w:val="none" w:sz="0" w:space="0" w:color="auto"/>
      </w:divBdr>
    </w:div>
    <w:div w:id="422727537">
      <w:bodyDiv w:val="1"/>
      <w:marLeft w:val="0"/>
      <w:marRight w:val="0"/>
      <w:marTop w:val="0"/>
      <w:marBottom w:val="0"/>
      <w:divBdr>
        <w:top w:val="none" w:sz="0" w:space="0" w:color="auto"/>
        <w:left w:val="none" w:sz="0" w:space="0" w:color="auto"/>
        <w:bottom w:val="none" w:sz="0" w:space="0" w:color="auto"/>
        <w:right w:val="none" w:sz="0" w:space="0" w:color="auto"/>
      </w:divBdr>
    </w:div>
    <w:div w:id="427887998">
      <w:bodyDiv w:val="1"/>
      <w:marLeft w:val="0"/>
      <w:marRight w:val="0"/>
      <w:marTop w:val="0"/>
      <w:marBottom w:val="0"/>
      <w:divBdr>
        <w:top w:val="none" w:sz="0" w:space="0" w:color="auto"/>
        <w:left w:val="none" w:sz="0" w:space="0" w:color="auto"/>
        <w:bottom w:val="none" w:sz="0" w:space="0" w:color="auto"/>
        <w:right w:val="none" w:sz="0" w:space="0" w:color="auto"/>
      </w:divBdr>
    </w:div>
    <w:div w:id="439836987">
      <w:bodyDiv w:val="1"/>
      <w:marLeft w:val="0"/>
      <w:marRight w:val="0"/>
      <w:marTop w:val="0"/>
      <w:marBottom w:val="0"/>
      <w:divBdr>
        <w:top w:val="none" w:sz="0" w:space="0" w:color="auto"/>
        <w:left w:val="none" w:sz="0" w:space="0" w:color="auto"/>
        <w:bottom w:val="none" w:sz="0" w:space="0" w:color="auto"/>
        <w:right w:val="none" w:sz="0" w:space="0" w:color="auto"/>
      </w:divBdr>
    </w:div>
    <w:div w:id="441924954">
      <w:bodyDiv w:val="1"/>
      <w:marLeft w:val="0"/>
      <w:marRight w:val="0"/>
      <w:marTop w:val="0"/>
      <w:marBottom w:val="0"/>
      <w:divBdr>
        <w:top w:val="none" w:sz="0" w:space="0" w:color="auto"/>
        <w:left w:val="none" w:sz="0" w:space="0" w:color="auto"/>
        <w:bottom w:val="none" w:sz="0" w:space="0" w:color="auto"/>
        <w:right w:val="none" w:sz="0" w:space="0" w:color="auto"/>
      </w:divBdr>
    </w:div>
    <w:div w:id="443619636">
      <w:bodyDiv w:val="1"/>
      <w:marLeft w:val="0"/>
      <w:marRight w:val="0"/>
      <w:marTop w:val="0"/>
      <w:marBottom w:val="0"/>
      <w:divBdr>
        <w:top w:val="none" w:sz="0" w:space="0" w:color="auto"/>
        <w:left w:val="none" w:sz="0" w:space="0" w:color="auto"/>
        <w:bottom w:val="none" w:sz="0" w:space="0" w:color="auto"/>
        <w:right w:val="none" w:sz="0" w:space="0" w:color="auto"/>
      </w:divBdr>
    </w:div>
    <w:div w:id="447355540">
      <w:bodyDiv w:val="1"/>
      <w:marLeft w:val="0"/>
      <w:marRight w:val="0"/>
      <w:marTop w:val="0"/>
      <w:marBottom w:val="0"/>
      <w:divBdr>
        <w:top w:val="none" w:sz="0" w:space="0" w:color="auto"/>
        <w:left w:val="none" w:sz="0" w:space="0" w:color="auto"/>
        <w:bottom w:val="none" w:sz="0" w:space="0" w:color="auto"/>
        <w:right w:val="none" w:sz="0" w:space="0" w:color="auto"/>
      </w:divBdr>
    </w:div>
    <w:div w:id="448823077">
      <w:bodyDiv w:val="1"/>
      <w:marLeft w:val="0"/>
      <w:marRight w:val="0"/>
      <w:marTop w:val="0"/>
      <w:marBottom w:val="0"/>
      <w:divBdr>
        <w:top w:val="none" w:sz="0" w:space="0" w:color="auto"/>
        <w:left w:val="none" w:sz="0" w:space="0" w:color="auto"/>
        <w:bottom w:val="none" w:sz="0" w:space="0" w:color="auto"/>
        <w:right w:val="none" w:sz="0" w:space="0" w:color="auto"/>
      </w:divBdr>
    </w:div>
    <w:div w:id="454562094">
      <w:bodyDiv w:val="1"/>
      <w:marLeft w:val="0"/>
      <w:marRight w:val="0"/>
      <w:marTop w:val="0"/>
      <w:marBottom w:val="0"/>
      <w:divBdr>
        <w:top w:val="none" w:sz="0" w:space="0" w:color="auto"/>
        <w:left w:val="none" w:sz="0" w:space="0" w:color="auto"/>
        <w:bottom w:val="none" w:sz="0" w:space="0" w:color="auto"/>
        <w:right w:val="none" w:sz="0" w:space="0" w:color="auto"/>
      </w:divBdr>
    </w:div>
    <w:div w:id="462118067">
      <w:bodyDiv w:val="1"/>
      <w:marLeft w:val="0"/>
      <w:marRight w:val="0"/>
      <w:marTop w:val="0"/>
      <w:marBottom w:val="0"/>
      <w:divBdr>
        <w:top w:val="none" w:sz="0" w:space="0" w:color="auto"/>
        <w:left w:val="none" w:sz="0" w:space="0" w:color="auto"/>
        <w:bottom w:val="none" w:sz="0" w:space="0" w:color="auto"/>
        <w:right w:val="none" w:sz="0" w:space="0" w:color="auto"/>
      </w:divBdr>
    </w:div>
    <w:div w:id="463930475">
      <w:bodyDiv w:val="1"/>
      <w:marLeft w:val="0"/>
      <w:marRight w:val="0"/>
      <w:marTop w:val="0"/>
      <w:marBottom w:val="0"/>
      <w:divBdr>
        <w:top w:val="none" w:sz="0" w:space="0" w:color="auto"/>
        <w:left w:val="none" w:sz="0" w:space="0" w:color="auto"/>
        <w:bottom w:val="none" w:sz="0" w:space="0" w:color="auto"/>
        <w:right w:val="none" w:sz="0" w:space="0" w:color="auto"/>
      </w:divBdr>
    </w:div>
    <w:div w:id="471295940">
      <w:bodyDiv w:val="1"/>
      <w:marLeft w:val="0"/>
      <w:marRight w:val="0"/>
      <w:marTop w:val="0"/>
      <w:marBottom w:val="0"/>
      <w:divBdr>
        <w:top w:val="none" w:sz="0" w:space="0" w:color="auto"/>
        <w:left w:val="none" w:sz="0" w:space="0" w:color="auto"/>
        <w:bottom w:val="none" w:sz="0" w:space="0" w:color="auto"/>
        <w:right w:val="none" w:sz="0" w:space="0" w:color="auto"/>
      </w:divBdr>
    </w:div>
    <w:div w:id="472017186">
      <w:bodyDiv w:val="1"/>
      <w:marLeft w:val="0"/>
      <w:marRight w:val="0"/>
      <w:marTop w:val="0"/>
      <w:marBottom w:val="0"/>
      <w:divBdr>
        <w:top w:val="none" w:sz="0" w:space="0" w:color="auto"/>
        <w:left w:val="none" w:sz="0" w:space="0" w:color="auto"/>
        <w:bottom w:val="none" w:sz="0" w:space="0" w:color="auto"/>
        <w:right w:val="none" w:sz="0" w:space="0" w:color="auto"/>
      </w:divBdr>
    </w:div>
    <w:div w:id="473060586">
      <w:bodyDiv w:val="1"/>
      <w:marLeft w:val="0"/>
      <w:marRight w:val="0"/>
      <w:marTop w:val="0"/>
      <w:marBottom w:val="0"/>
      <w:divBdr>
        <w:top w:val="none" w:sz="0" w:space="0" w:color="auto"/>
        <w:left w:val="none" w:sz="0" w:space="0" w:color="auto"/>
        <w:bottom w:val="none" w:sz="0" w:space="0" w:color="auto"/>
        <w:right w:val="none" w:sz="0" w:space="0" w:color="auto"/>
      </w:divBdr>
    </w:div>
    <w:div w:id="476386853">
      <w:bodyDiv w:val="1"/>
      <w:marLeft w:val="0"/>
      <w:marRight w:val="0"/>
      <w:marTop w:val="0"/>
      <w:marBottom w:val="0"/>
      <w:divBdr>
        <w:top w:val="none" w:sz="0" w:space="0" w:color="auto"/>
        <w:left w:val="none" w:sz="0" w:space="0" w:color="auto"/>
        <w:bottom w:val="none" w:sz="0" w:space="0" w:color="auto"/>
        <w:right w:val="none" w:sz="0" w:space="0" w:color="auto"/>
      </w:divBdr>
    </w:div>
    <w:div w:id="476798992">
      <w:bodyDiv w:val="1"/>
      <w:marLeft w:val="0"/>
      <w:marRight w:val="0"/>
      <w:marTop w:val="0"/>
      <w:marBottom w:val="0"/>
      <w:divBdr>
        <w:top w:val="none" w:sz="0" w:space="0" w:color="auto"/>
        <w:left w:val="none" w:sz="0" w:space="0" w:color="auto"/>
        <w:bottom w:val="none" w:sz="0" w:space="0" w:color="auto"/>
        <w:right w:val="none" w:sz="0" w:space="0" w:color="auto"/>
      </w:divBdr>
    </w:div>
    <w:div w:id="478885296">
      <w:bodyDiv w:val="1"/>
      <w:marLeft w:val="0"/>
      <w:marRight w:val="0"/>
      <w:marTop w:val="0"/>
      <w:marBottom w:val="0"/>
      <w:divBdr>
        <w:top w:val="none" w:sz="0" w:space="0" w:color="auto"/>
        <w:left w:val="none" w:sz="0" w:space="0" w:color="auto"/>
        <w:bottom w:val="none" w:sz="0" w:space="0" w:color="auto"/>
        <w:right w:val="none" w:sz="0" w:space="0" w:color="auto"/>
      </w:divBdr>
    </w:div>
    <w:div w:id="482895910">
      <w:bodyDiv w:val="1"/>
      <w:marLeft w:val="0"/>
      <w:marRight w:val="0"/>
      <w:marTop w:val="0"/>
      <w:marBottom w:val="0"/>
      <w:divBdr>
        <w:top w:val="none" w:sz="0" w:space="0" w:color="auto"/>
        <w:left w:val="none" w:sz="0" w:space="0" w:color="auto"/>
        <w:bottom w:val="none" w:sz="0" w:space="0" w:color="auto"/>
        <w:right w:val="none" w:sz="0" w:space="0" w:color="auto"/>
      </w:divBdr>
    </w:div>
    <w:div w:id="487595084">
      <w:bodyDiv w:val="1"/>
      <w:marLeft w:val="0"/>
      <w:marRight w:val="0"/>
      <w:marTop w:val="0"/>
      <w:marBottom w:val="0"/>
      <w:divBdr>
        <w:top w:val="none" w:sz="0" w:space="0" w:color="auto"/>
        <w:left w:val="none" w:sz="0" w:space="0" w:color="auto"/>
        <w:bottom w:val="none" w:sz="0" w:space="0" w:color="auto"/>
        <w:right w:val="none" w:sz="0" w:space="0" w:color="auto"/>
      </w:divBdr>
    </w:div>
    <w:div w:id="489947970">
      <w:bodyDiv w:val="1"/>
      <w:marLeft w:val="0"/>
      <w:marRight w:val="0"/>
      <w:marTop w:val="0"/>
      <w:marBottom w:val="0"/>
      <w:divBdr>
        <w:top w:val="none" w:sz="0" w:space="0" w:color="auto"/>
        <w:left w:val="none" w:sz="0" w:space="0" w:color="auto"/>
        <w:bottom w:val="none" w:sz="0" w:space="0" w:color="auto"/>
        <w:right w:val="none" w:sz="0" w:space="0" w:color="auto"/>
      </w:divBdr>
    </w:div>
    <w:div w:id="495345972">
      <w:bodyDiv w:val="1"/>
      <w:marLeft w:val="0"/>
      <w:marRight w:val="0"/>
      <w:marTop w:val="0"/>
      <w:marBottom w:val="0"/>
      <w:divBdr>
        <w:top w:val="none" w:sz="0" w:space="0" w:color="auto"/>
        <w:left w:val="none" w:sz="0" w:space="0" w:color="auto"/>
        <w:bottom w:val="none" w:sz="0" w:space="0" w:color="auto"/>
        <w:right w:val="none" w:sz="0" w:space="0" w:color="auto"/>
      </w:divBdr>
    </w:div>
    <w:div w:id="496266180">
      <w:bodyDiv w:val="1"/>
      <w:marLeft w:val="0"/>
      <w:marRight w:val="0"/>
      <w:marTop w:val="0"/>
      <w:marBottom w:val="0"/>
      <w:divBdr>
        <w:top w:val="none" w:sz="0" w:space="0" w:color="auto"/>
        <w:left w:val="none" w:sz="0" w:space="0" w:color="auto"/>
        <w:bottom w:val="none" w:sz="0" w:space="0" w:color="auto"/>
        <w:right w:val="none" w:sz="0" w:space="0" w:color="auto"/>
      </w:divBdr>
    </w:div>
    <w:div w:id="506948422">
      <w:bodyDiv w:val="1"/>
      <w:marLeft w:val="0"/>
      <w:marRight w:val="0"/>
      <w:marTop w:val="0"/>
      <w:marBottom w:val="0"/>
      <w:divBdr>
        <w:top w:val="none" w:sz="0" w:space="0" w:color="auto"/>
        <w:left w:val="none" w:sz="0" w:space="0" w:color="auto"/>
        <w:bottom w:val="none" w:sz="0" w:space="0" w:color="auto"/>
        <w:right w:val="none" w:sz="0" w:space="0" w:color="auto"/>
      </w:divBdr>
    </w:div>
    <w:div w:id="515506289">
      <w:bodyDiv w:val="1"/>
      <w:marLeft w:val="0"/>
      <w:marRight w:val="0"/>
      <w:marTop w:val="0"/>
      <w:marBottom w:val="0"/>
      <w:divBdr>
        <w:top w:val="none" w:sz="0" w:space="0" w:color="auto"/>
        <w:left w:val="none" w:sz="0" w:space="0" w:color="auto"/>
        <w:bottom w:val="none" w:sz="0" w:space="0" w:color="auto"/>
        <w:right w:val="none" w:sz="0" w:space="0" w:color="auto"/>
      </w:divBdr>
    </w:div>
    <w:div w:id="521865477">
      <w:bodyDiv w:val="1"/>
      <w:marLeft w:val="0"/>
      <w:marRight w:val="0"/>
      <w:marTop w:val="0"/>
      <w:marBottom w:val="0"/>
      <w:divBdr>
        <w:top w:val="none" w:sz="0" w:space="0" w:color="auto"/>
        <w:left w:val="none" w:sz="0" w:space="0" w:color="auto"/>
        <w:bottom w:val="none" w:sz="0" w:space="0" w:color="auto"/>
        <w:right w:val="none" w:sz="0" w:space="0" w:color="auto"/>
      </w:divBdr>
    </w:div>
    <w:div w:id="529073613">
      <w:bodyDiv w:val="1"/>
      <w:marLeft w:val="0"/>
      <w:marRight w:val="0"/>
      <w:marTop w:val="0"/>
      <w:marBottom w:val="0"/>
      <w:divBdr>
        <w:top w:val="none" w:sz="0" w:space="0" w:color="auto"/>
        <w:left w:val="none" w:sz="0" w:space="0" w:color="auto"/>
        <w:bottom w:val="none" w:sz="0" w:space="0" w:color="auto"/>
        <w:right w:val="none" w:sz="0" w:space="0" w:color="auto"/>
      </w:divBdr>
    </w:div>
    <w:div w:id="529608325">
      <w:bodyDiv w:val="1"/>
      <w:marLeft w:val="0"/>
      <w:marRight w:val="0"/>
      <w:marTop w:val="0"/>
      <w:marBottom w:val="0"/>
      <w:divBdr>
        <w:top w:val="none" w:sz="0" w:space="0" w:color="auto"/>
        <w:left w:val="none" w:sz="0" w:space="0" w:color="auto"/>
        <w:bottom w:val="none" w:sz="0" w:space="0" w:color="auto"/>
        <w:right w:val="none" w:sz="0" w:space="0" w:color="auto"/>
      </w:divBdr>
    </w:div>
    <w:div w:id="536939965">
      <w:bodyDiv w:val="1"/>
      <w:marLeft w:val="0"/>
      <w:marRight w:val="0"/>
      <w:marTop w:val="0"/>
      <w:marBottom w:val="0"/>
      <w:divBdr>
        <w:top w:val="none" w:sz="0" w:space="0" w:color="auto"/>
        <w:left w:val="none" w:sz="0" w:space="0" w:color="auto"/>
        <w:bottom w:val="none" w:sz="0" w:space="0" w:color="auto"/>
        <w:right w:val="none" w:sz="0" w:space="0" w:color="auto"/>
      </w:divBdr>
    </w:div>
    <w:div w:id="539248784">
      <w:bodyDiv w:val="1"/>
      <w:marLeft w:val="0"/>
      <w:marRight w:val="0"/>
      <w:marTop w:val="0"/>
      <w:marBottom w:val="0"/>
      <w:divBdr>
        <w:top w:val="none" w:sz="0" w:space="0" w:color="auto"/>
        <w:left w:val="none" w:sz="0" w:space="0" w:color="auto"/>
        <w:bottom w:val="none" w:sz="0" w:space="0" w:color="auto"/>
        <w:right w:val="none" w:sz="0" w:space="0" w:color="auto"/>
      </w:divBdr>
    </w:div>
    <w:div w:id="555359256">
      <w:bodyDiv w:val="1"/>
      <w:marLeft w:val="0"/>
      <w:marRight w:val="0"/>
      <w:marTop w:val="0"/>
      <w:marBottom w:val="0"/>
      <w:divBdr>
        <w:top w:val="none" w:sz="0" w:space="0" w:color="auto"/>
        <w:left w:val="none" w:sz="0" w:space="0" w:color="auto"/>
        <w:bottom w:val="none" w:sz="0" w:space="0" w:color="auto"/>
        <w:right w:val="none" w:sz="0" w:space="0" w:color="auto"/>
      </w:divBdr>
    </w:div>
    <w:div w:id="560024113">
      <w:bodyDiv w:val="1"/>
      <w:marLeft w:val="0"/>
      <w:marRight w:val="0"/>
      <w:marTop w:val="0"/>
      <w:marBottom w:val="0"/>
      <w:divBdr>
        <w:top w:val="none" w:sz="0" w:space="0" w:color="auto"/>
        <w:left w:val="none" w:sz="0" w:space="0" w:color="auto"/>
        <w:bottom w:val="none" w:sz="0" w:space="0" w:color="auto"/>
        <w:right w:val="none" w:sz="0" w:space="0" w:color="auto"/>
      </w:divBdr>
    </w:div>
    <w:div w:id="560287901">
      <w:bodyDiv w:val="1"/>
      <w:marLeft w:val="0"/>
      <w:marRight w:val="0"/>
      <w:marTop w:val="0"/>
      <w:marBottom w:val="0"/>
      <w:divBdr>
        <w:top w:val="none" w:sz="0" w:space="0" w:color="auto"/>
        <w:left w:val="none" w:sz="0" w:space="0" w:color="auto"/>
        <w:bottom w:val="none" w:sz="0" w:space="0" w:color="auto"/>
        <w:right w:val="none" w:sz="0" w:space="0" w:color="auto"/>
      </w:divBdr>
    </w:div>
    <w:div w:id="574703238">
      <w:bodyDiv w:val="1"/>
      <w:marLeft w:val="0"/>
      <w:marRight w:val="0"/>
      <w:marTop w:val="0"/>
      <w:marBottom w:val="0"/>
      <w:divBdr>
        <w:top w:val="none" w:sz="0" w:space="0" w:color="auto"/>
        <w:left w:val="none" w:sz="0" w:space="0" w:color="auto"/>
        <w:bottom w:val="none" w:sz="0" w:space="0" w:color="auto"/>
        <w:right w:val="none" w:sz="0" w:space="0" w:color="auto"/>
      </w:divBdr>
    </w:div>
    <w:div w:id="587160000">
      <w:bodyDiv w:val="1"/>
      <w:marLeft w:val="0"/>
      <w:marRight w:val="0"/>
      <w:marTop w:val="0"/>
      <w:marBottom w:val="0"/>
      <w:divBdr>
        <w:top w:val="none" w:sz="0" w:space="0" w:color="auto"/>
        <w:left w:val="none" w:sz="0" w:space="0" w:color="auto"/>
        <w:bottom w:val="none" w:sz="0" w:space="0" w:color="auto"/>
        <w:right w:val="none" w:sz="0" w:space="0" w:color="auto"/>
      </w:divBdr>
    </w:div>
    <w:div w:id="601844265">
      <w:bodyDiv w:val="1"/>
      <w:marLeft w:val="0"/>
      <w:marRight w:val="0"/>
      <w:marTop w:val="0"/>
      <w:marBottom w:val="0"/>
      <w:divBdr>
        <w:top w:val="none" w:sz="0" w:space="0" w:color="auto"/>
        <w:left w:val="none" w:sz="0" w:space="0" w:color="auto"/>
        <w:bottom w:val="none" w:sz="0" w:space="0" w:color="auto"/>
        <w:right w:val="none" w:sz="0" w:space="0" w:color="auto"/>
      </w:divBdr>
    </w:div>
    <w:div w:id="602542158">
      <w:bodyDiv w:val="1"/>
      <w:marLeft w:val="0"/>
      <w:marRight w:val="0"/>
      <w:marTop w:val="0"/>
      <w:marBottom w:val="0"/>
      <w:divBdr>
        <w:top w:val="none" w:sz="0" w:space="0" w:color="auto"/>
        <w:left w:val="none" w:sz="0" w:space="0" w:color="auto"/>
        <w:bottom w:val="none" w:sz="0" w:space="0" w:color="auto"/>
        <w:right w:val="none" w:sz="0" w:space="0" w:color="auto"/>
      </w:divBdr>
    </w:div>
    <w:div w:id="613251183">
      <w:bodyDiv w:val="1"/>
      <w:marLeft w:val="0"/>
      <w:marRight w:val="0"/>
      <w:marTop w:val="0"/>
      <w:marBottom w:val="0"/>
      <w:divBdr>
        <w:top w:val="none" w:sz="0" w:space="0" w:color="auto"/>
        <w:left w:val="none" w:sz="0" w:space="0" w:color="auto"/>
        <w:bottom w:val="none" w:sz="0" w:space="0" w:color="auto"/>
        <w:right w:val="none" w:sz="0" w:space="0" w:color="auto"/>
      </w:divBdr>
    </w:div>
    <w:div w:id="617569979">
      <w:bodyDiv w:val="1"/>
      <w:marLeft w:val="0"/>
      <w:marRight w:val="0"/>
      <w:marTop w:val="0"/>
      <w:marBottom w:val="0"/>
      <w:divBdr>
        <w:top w:val="none" w:sz="0" w:space="0" w:color="auto"/>
        <w:left w:val="none" w:sz="0" w:space="0" w:color="auto"/>
        <w:bottom w:val="none" w:sz="0" w:space="0" w:color="auto"/>
        <w:right w:val="none" w:sz="0" w:space="0" w:color="auto"/>
      </w:divBdr>
    </w:div>
    <w:div w:id="623080608">
      <w:bodyDiv w:val="1"/>
      <w:marLeft w:val="0"/>
      <w:marRight w:val="0"/>
      <w:marTop w:val="0"/>
      <w:marBottom w:val="0"/>
      <w:divBdr>
        <w:top w:val="none" w:sz="0" w:space="0" w:color="auto"/>
        <w:left w:val="none" w:sz="0" w:space="0" w:color="auto"/>
        <w:bottom w:val="none" w:sz="0" w:space="0" w:color="auto"/>
        <w:right w:val="none" w:sz="0" w:space="0" w:color="auto"/>
      </w:divBdr>
    </w:div>
    <w:div w:id="624115943">
      <w:bodyDiv w:val="1"/>
      <w:marLeft w:val="0"/>
      <w:marRight w:val="0"/>
      <w:marTop w:val="0"/>
      <w:marBottom w:val="0"/>
      <w:divBdr>
        <w:top w:val="none" w:sz="0" w:space="0" w:color="auto"/>
        <w:left w:val="none" w:sz="0" w:space="0" w:color="auto"/>
        <w:bottom w:val="none" w:sz="0" w:space="0" w:color="auto"/>
        <w:right w:val="none" w:sz="0" w:space="0" w:color="auto"/>
      </w:divBdr>
    </w:div>
    <w:div w:id="625547426">
      <w:bodyDiv w:val="1"/>
      <w:marLeft w:val="0"/>
      <w:marRight w:val="0"/>
      <w:marTop w:val="0"/>
      <w:marBottom w:val="0"/>
      <w:divBdr>
        <w:top w:val="none" w:sz="0" w:space="0" w:color="auto"/>
        <w:left w:val="none" w:sz="0" w:space="0" w:color="auto"/>
        <w:bottom w:val="none" w:sz="0" w:space="0" w:color="auto"/>
        <w:right w:val="none" w:sz="0" w:space="0" w:color="auto"/>
      </w:divBdr>
    </w:div>
    <w:div w:id="628821891">
      <w:bodyDiv w:val="1"/>
      <w:marLeft w:val="0"/>
      <w:marRight w:val="0"/>
      <w:marTop w:val="0"/>
      <w:marBottom w:val="0"/>
      <w:divBdr>
        <w:top w:val="none" w:sz="0" w:space="0" w:color="auto"/>
        <w:left w:val="none" w:sz="0" w:space="0" w:color="auto"/>
        <w:bottom w:val="none" w:sz="0" w:space="0" w:color="auto"/>
        <w:right w:val="none" w:sz="0" w:space="0" w:color="auto"/>
      </w:divBdr>
    </w:div>
    <w:div w:id="629438787">
      <w:bodyDiv w:val="1"/>
      <w:marLeft w:val="0"/>
      <w:marRight w:val="0"/>
      <w:marTop w:val="0"/>
      <w:marBottom w:val="0"/>
      <w:divBdr>
        <w:top w:val="none" w:sz="0" w:space="0" w:color="auto"/>
        <w:left w:val="none" w:sz="0" w:space="0" w:color="auto"/>
        <w:bottom w:val="none" w:sz="0" w:space="0" w:color="auto"/>
        <w:right w:val="none" w:sz="0" w:space="0" w:color="auto"/>
      </w:divBdr>
    </w:div>
    <w:div w:id="637683225">
      <w:bodyDiv w:val="1"/>
      <w:marLeft w:val="0"/>
      <w:marRight w:val="0"/>
      <w:marTop w:val="0"/>
      <w:marBottom w:val="0"/>
      <w:divBdr>
        <w:top w:val="none" w:sz="0" w:space="0" w:color="auto"/>
        <w:left w:val="none" w:sz="0" w:space="0" w:color="auto"/>
        <w:bottom w:val="none" w:sz="0" w:space="0" w:color="auto"/>
        <w:right w:val="none" w:sz="0" w:space="0" w:color="auto"/>
      </w:divBdr>
    </w:div>
    <w:div w:id="650257022">
      <w:bodyDiv w:val="1"/>
      <w:marLeft w:val="0"/>
      <w:marRight w:val="0"/>
      <w:marTop w:val="0"/>
      <w:marBottom w:val="0"/>
      <w:divBdr>
        <w:top w:val="none" w:sz="0" w:space="0" w:color="auto"/>
        <w:left w:val="none" w:sz="0" w:space="0" w:color="auto"/>
        <w:bottom w:val="none" w:sz="0" w:space="0" w:color="auto"/>
        <w:right w:val="none" w:sz="0" w:space="0" w:color="auto"/>
      </w:divBdr>
    </w:div>
    <w:div w:id="653602857">
      <w:bodyDiv w:val="1"/>
      <w:marLeft w:val="0"/>
      <w:marRight w:val="0"/>
      <w:marTop w:val="0"/>
      <w:marBottom w:val="0"/>
      <w:divBdr>
        <w:top w:val="none" w:sz="0" w:space="0" w:color="auto"/>
        <w:left w:val="none" w:sz="0" w:space="0" w:color="auto"/>
        <w:bottom w:val="none" w:sz="0" w:space="0" w:color="auto"/>
        <w:right w:val="none" w:sz="0" w:space="0" w:color="auto"/>
      </w:divBdr>
    </w:div>
    <w:div w:id="663749887">
      <w:bodyDiv w:val="1"/>
      <w:marLeft w:val="0"/>
      <w:marRight w:val="0"/>
      <w:marTop w:val="0"/>
      <w:marBottom w:val="0"/>
      <w:divBdr>
        <w:top w:val="none" w:sz="0" w:space="0" w:color="auto"/>
        <w:left w:val="none" w:sz="0" w:space="0" w:color="auto"/>
        <w:bottom w:val="none" w:sz="0" w:space="0" w:color="auto"/>
        <w:right w:val="none" w:sz="0" w:space="0" w:color="auto"/>
      </w:divBdr>
    </w:div>
    <w:div w:id="669480625">
      <w:bodyDiv w:val="1"/>
      <w:marLeft w:val="0"/>
      <w:marRight w:val="0"/>
      <w:marTop w:val="0"/>
      <w:marBottom w:val="0"/>
      <w:divBdr>
        <w:top w:val="none" w:sz="0" w:space="0" w:color="auto"/>
        <w:left w:val="none" w:sz="0" w:space="0" w:color="auto"/>
        <w:bottom w:val="none" w:sz="0" w:space="0" w:color="auto"/>
        <w:right w:val="none" w:sz="0" w:space="0" w:color="auto"/>
      </w:divBdr>
    </w:div>
    <w:div w:id="678507678">
      <w:bodyDiv w:val="1"/>
      <w:marLeft w:val="0"/>
      <w:marRight w:val="0"/>
      <w:marTop w:val="0"/>
      <w:marBottom w:val="0"/>
      <w:divBdr>
        <w:top w:val="none" w:sz="0" w:space="0" w:color="auto"/>
        <w:left w:val="none" w:sz="0" w:space="0" w:color="auto"/>
        <w:bottom w:val="none" w:sz="0" w:space="0" w:color="auto"/>
        <w:right w:val="none" w:sz="0" w:space="0" w:color="auto"/>
      </w:divBdr>
    </w:div>
    <w:div w:id="708527926">
      <w:bodyDiv w:val="1"/>
      <w:marLeft w:val="0"/>
      <w:marRight w:val="0"/>
      <w:marTop w:val="0"/>
      <w:marBottom w:val="0"/>
      <w:divBdr>
        <w:top w:val="none" w:sz="0" w:space="0" w:color="auto"/>
        <w:left w:val="none" w:sz="0" w:space="0" w:color="auto"/>
        <w:bottom w:val="none" w:sz="0" w:space="0" w:color="auto"/>
        <w:right w:val="none" w:sz="0" w:space="0" w:color="auto"/>
      </w:divBdr>
    </w:div>
    <w:div w:id="723874007">
      <w:bodyDiv w:val="1"/>
      <w:marLeft w:val="0"/>
      <w:marRight w:val="0"/>
      <w:marTop w:val="0"/>
      <w:marBottom w:val="0"/>
      <w:divBdr>
        <w:top w:val="none" w:sz="0" w:space="0" w:color="auto"/>
        <w:left w:val="none" w:sz="0" w:space="0" w:color="auto"/>
        <w:bottom w:val="none" w:sz="0" w:space="0" w:color="auto"/>
        <w:right w:val="none" w:sz="0" w:space="0" w:color="auto"/>
      </w:divBdr>
    </w:div>
    <w:div w:id="726728762">
      <w:bodyDiv w:val="1"/>
      <w:marLeft w:val="0"/>
      <w:marRight w:val="0"/>
      <w:marTop w:val="0"/>
      <w:marBottom w:val="0"/>
      <w:divBdr>
        <w:top w:val="none" w:sz="0" w:space="0" w:color="auto"/>
        <w:left w:val="none" w:sz="0" w:space="0" w:color="auto"/>
        <w:bottom w:val="none" w:sz="0" w:space="0" w:color="auto"/>
        <w:right w:val="none" w:sz="0" w:space="0" w:color="auto"/>
      </w:divBdr>
    </w:div>
    <w:div w:id="733507669">
      <w:bodyDiv w:val="1"/>
      <w:marLeft w:val="0"/>
      <w:marRight w:val="0"/>
      <w:marTop w:val="0"/>
      <w:marBottom w:val="0"/>
      <w:divBdr>
        <w:top w:val="none" w:sz="0" w:space="0" w:color="auto"/>
        <w:left w:val="none" w:sz="0" w:space="0" w:color="auto"/>
        <w:bottom w:val="none" w:sz="0" w:space="0" w:color="auto"/>
        <w:right w:val="none" w:sz="0" w:space="0" w:color="auto"/>
      </w:divBdr>
    </w:div>
    <w:div w:id="733623839">
      <w:bodyDiv w:val="1"/>
      <w:marLeft w:val="0"/>
      <w:marRight w:val="0"/>
      <w:marTop w:val="0"/>
      <w:marBottom w:val="0"/>
      <w:divBdr>
        <w:top w:val="none" w:sz="0" w:space="0" w:color="auto"/>
        <w:left w:val="none" w:sz="0" w:space="0" w:color="auto"/>
        <w:bottom w:val="none" w:sz="0" w:space="0" w:color="auto"/>
        <w:right w:val="none" w:sz="0" w:space="0" w:color="auto"/>
      </w:divBdr>
    </w:div>
    <w:div w:id="750349451">
      <w:bodyDiv w:val="1"/>
      <w:marLeft w:val="0"/>
      <w:marRight w:val="0"/>
      <w:marTop w:val="0"/>
      <w:marBottom w:val="0"/>
      <w:divBdr>
        <w:top w:val="none" w:sz="0" w:space="0" w:color="auto"/>
        <w:left w:val="none" w:sz="0" w:space="0" w:color="auto"/>
        <w:bottom w:val="none" w:sz="0" w:space="0" w:color="auto"/>
        <w:right w:val="none" w:sz="0" w:space="0" w:color="auto"/>
      </w:divBdr>
    </w:div>
    <w:div w:id="751512875">
      <w:bodyDiv w:val="1"/>
      <w:marLeft w:val="0"/>
      <w:marRight w:val="0"/>
      <w:marTop w:val="0"/>
      <w:marBottom w:val="0"/>
      <w:divBdr>
        <w:top w:val="none" w:sz="0" w:space="0" w:color="auto"/>
        <w:left w:val="none" w:sz="0" w:space="0" w:color="auto"/>
        <w:bottom w:val="none" w:sz="0" w:space="0" w:color="auto"/>
        <w:right w:val="none" w:sz="0" w:space="0" w:color="auto"/>
      </w:divBdr>
    </w:div>
    <w:div w:id="752818522">
      <w:bodyDiv w:val="1"/>
      <w:marLeft w:val="0"/>
      <w:marRight w:val="0"/>
      <w:marTop w:val="0"/>
      <w:marBottom w:val="0"/>
      <w:divBdr>
        <w:top w:val="none" w:sz="0" w:space="0" w:color="auto"/>
        <w:left w:val="none" w:sz="0" w:space="0" w:color="auto"/>
        <w:bottom w:val="none" w:sz="0" w:space="0" w:color="auto"/>
        <w:right w:val="none" w:sz="0" w:space="0" w:color="auto"/>
      </w:divBdr>
    </w:div>
    <w:div w:id="754715439">
      <w:bodyDiv w:val="1"/>
      <w:marLeft w:val="0"/>
      <w:marRight w:val="0"/>
      <w:marTop w:val="0"/>
      <w:marBottom w:val="0"/>
      <w:divBdr>
        <w:top w:val="none" w:sz="0" w:space="0" w:color="auto"/>
        <w:left w:val="none" w:sz="0" w:space="0" w:color="auto"/>
        <w:bottom w:val="none" w:sz="0" w:space="0" w:color="auto"/>
        <w:right w:val="none" w:sz="0" w:space="0" w:color="auto"/>
      </w:divBdr>
    </w:div>
    <w:div w:id="759062158">
      <w:bodyDiv w:val="1"/>
      <w:marLeft w:val="0"/>
      <w:marRight w:val="0"/>
      <w:marTop w:val="0"/>
      <w:marBottom w:val="0"/>
      <w:divBdr>
        <w:top w:val="none" w:sz="0" w:space="0" w:color="auto"/>
        <w:left w:val="none" w:sz="0" w:space="0" w:color="auto"/>
        <w:bottom w:val="none" w:sz="0" w:space="0" w:color="auto"/>
        <w:right w:val="none" w:sz="0" w:space="0" w:color="auto"/>
      </w:divBdr>
    </w:div>
    <w:div w:id="792021662">
      <w:bodyDiv w:val="1"/>
      <w:marLeft w:val="0"/>
      <w:marRight w:val="0"/>
      <w:marTop w:val="0"/>
      <w:marBottom w:val="0"/>
      <w:divBdr>
        <w:top w:val="none" w:sz="0" w:space="0" w:color="auto"/>
        <w:left w:val="none" w:sz="0" w:space="0" w:color="auto"/>
        <w:bottom w:val="none" w:sz="0" w:space="0" w:color="auto"/>
        <w:right w:val="none" w:sz="0" w:space="0" w:color="auto"/>
      </w:divBdr>
    </w:div>
    <w:div w:id="802893252">
      <w:bodyDiv w:val="1"/>
      <w:marLeft w:val="0"/>
      <w:marRight w:val="0"/>
      <w:marTop w:val="0"/>
      <w:marBottom w:val="0"/>
      <w:divBdr>
        <w:top w:val="none" w:sz="0" w:space="0" w:color="auto"/>
        <w:left w:val="none" w:sz="0" w:space="0" w:color="auto"/>
        <w:bottom w:val="none" w:sz="0" w:space="0" w:color="auto"/>
        <w:right w:val="none" w:sz="0" w:space="0" w:color="auto"/>
      </w:divBdr>
    </w:div>
    <w:div w:id="814492307">
      <w:bodyDiv w:val="1"/>
      <w:marLeft w:val="0"/>
      <w:marRight w:val="0"/>
      <w:marTop w:val="0"/>
      <w:marBottom w:val="0"/>
      <w:divBdr>
        <w:top w:val="none" w:sz="0" w:space="0" w:color="auto"/>
        <w:left w:val="none" w:sz="0" w:space="0" w:color="auto"/>
        <w:bottom w:val="none" w:sz="0" w:space="0" w:color="auto"/>
        <w:right w:val="none" w:sz="0" w:space="0" w:color="auto"/>
      </w:divBdr>
    </w:div>
    <w:div w:id="816383619">
      <w:bodyDiv w:val="1"/>
      <w:marLeft w:val="0"/>
      <w:marRight w:val="0"/>
      <w:marTop w:val="0"/>
      <w:marBottom w:val="0"/>
      <w:divBdr>
        <w:top w:val="none" w:sz="0" w:space="0" w:color="auto"/>
        <w:left w:val="none" w:sz="0" w:space="0" w:color="auto"/>
        <w:bottom w:val="none" w:sz="0" w:space="0" w:color="auto"/>
        <w:right w:val="none" w:sz="0" w:space="0" w:color="auto"/>
      </w:divBdr>
    </w:div>
    <w:div w:id="817069767">
      <w:bodyDiv w:val="1"/>
      <w:marLeft w:val="0"/>
      <w:marRight w:val="0"/>
      <w:marTop w:val="0"/>
      <w:marBottom w:val="0"/>
      <w:divBdr>
        <w:top w:val="none" w:sz="0" w:space="0" w:color="auto"/>
        <w:left w:val="none" w:sz="0" w:space="0" w:color="auto"/>
        <w:bottom w:val="none" w:sz="0" w:space="0" w:color="auto"/>
        <w:right w:val="none" w:sz="0" w:space="0" w:color="auto"/>
      </w:divBdr>
    </w:div>
    <w:div w:id="820656459">
      <w:bodyDiv w:val="1"/>
      <w:marLeft w:val="0"/>
      <w:marRight w:val="0"/>
      <w:marTop w:val="0"/>
      <w:marBottom w:val="0"/>
      <w:divBdr>
        <w:top w:val="none" w:sz="0" w:space="0" w:color="auto"/>
        <w:left w:val="none" w:sz="0" w:space="0" w:color="auto"/>
        <w:bottom w:val="none" w:sz="0" w:space="0" w:color="auto"/>
        <w:right w:val="none" w:sz="0" w:space="0" w:color="auto"/>
      </w:divBdr>
    </w:div>
    <w:div w:id="821771365">
      <w:bodyDiv w:val="1"/>
      <w:marLeft w:val="0"/>
      <w:marRight w:val="0"/>
      <w:marTop w:val="0"/>
      <w:marBottom w:val="0"/>
      <w:divBdr>
        <w:top w:val="none" w:sz="0" w:space="0" w:color="auto"/>
        <w:left w:val="none" w:sz="0" w:space="0" w:color="auto"/>
        <w:bottom w:val="none" w:sz="0" w:space="0" w:color="auto"/>
        <w:right w:val="none" w:sz="0" w:space="0" w:color="auto"/>
      </w:divBdr>
    </w:div>
    <w:div w:id="829713194">
      <w:bodyDiv w:val="1"/>
      <w:marLeft w:val="0"/>
      <w:marRight w:val="0"/>
      <w:marTop w:val="0"/>
      <w:marBottom w:val="0"/>
      <w:divBdr>
        <w:top w:val="none" w:sz="0" w:space="0" w:color="auto"/>
        <w:left w:val="none" w:sz="0" w:space="0" w:color="auto"/>
        <w:bottom w:val="none" w:sz="0" w:space="0" w:color="auto"/>
        <w:right w:val="none" w:sz="0" w:space="0" w:color="auto"/>
      </w:divBdr>
    </w:div>
    <w:div w:id="836186386">
      <w:bodyDiv w:val="1"/>
      <w:marLeft w:val="0"/>
      <w:marRight w:val="0"/>
      <w:marTop w:val="0"/>
      <w:marBottom w:val="0"/>
      <w:divBdr>
        <w:top w:val="none" w:sz="0" w:space="0" w:color="auto"/>
        <w:left w:val="none" w:sz="0" w:space="0" w:color="auto"/>
        <w:bottom w:val="none" w:sz="0" w:space="0" w:color="auto"/>
        <w:right w:val="none" w:sz="0" w:space="0" w:color="auto"/>
      </w:divBdr>
    </w:div>
    <w:div w:id="841242253">
      <w:bodyDiv w:val="1"/>
      <w:marLeft w:val="0"/>
      <w:marRight w:val="0"/>
      <w:marTop w:val="0"/>
      <w:marBottom w:val="0"/>
      <w:divBdr>
        <w:top w:val="none" w:sz="0" w:space="0" w:color="auto"/>
        <w:left w:val="none" w:sz="0" w:space="0" w:color="auto"/>
        <w:bottom w:val="none" w:sz="0" w:space="0" w:color="auto"/>
        <w:right w:val="none" w:sz="0" w:space="0" w:color="auto"/>
      </w:divBdr>
    </w:div>
    <w:div w:id="849297973">
      <w:bodyDiv w:val="1"/>
      <w:marLeft w:val="0"/>
      <w:marRight w:val="0"/>
      <w:marTop w:val="0"/>
      <w:marBottom w:val="0"/>
      <w:divBdr>
        <w:top w:val="none" w:sz="0" w:space="0" w:color="auto"/>
        <w:left w:val="none" w:sz="0" w:space="0" w:color="auto"/>
        <w:bottom w:val="none" w:sz="0" w:space="0" w:color="auto"/>
        <w:right w:val="none" w:sz="0" w:space="0" w:color="auto"/>
      </w:divBdr>
    </w:div>
    <w:div w:id="860707885">
      <w:bodyDiv w:val="1"/>
      <w:marLeft w:val="0"/>
      <w:marRight w:val="0"/>
      <w:marTop w:val="0"/>
      <w:marBottom w:val="0"/>
      <w:divBdr>
        <w:top w:val="none" w:sz="0" w:space="0" w:color="auto"/>
        <w:left w:val="none" w:sz="0" w:space="0" w:color="auto"/>
        <w:bottom w:val="none" w:sz="0" w:space="0" w:color="auto"/>
        <w:right w:val="none" w:sz="0" w:space="0" w:color="auto"/>
      </w:divBdr>
    </w:div>
    <w:div w:id="868373621">
      <w:bodyDiv w:val="1"/>
      <w:marLeft w:val="0"/>
      <w:marRight w:val="0"/>
      <w:marTop w:val="0"/>
      <w:marBottom w:val="0"/>
      <w:divBdr>
        <w:top w:val="none" w:sz="0" w:space="0" w:color="auto"/>
        <w:left w:val="none" w:sz="0" w:space="0" w:color="auto"/>
        <w:bottom w:val="none" w:sz="0" w:space="0" w:color="auto"/>
        <w:right w:val="none" w:sz="0" w:space="0" w:color="auto"/>
      </w:divBdr>
    </w:div>
    <w:div w:id="872888944">
      <w:bodyDiv w:val="1"/>
      <w:marLeft w:val="0"/>
      <w:marRight w:val="0"/>
      <w:marTop w:val="0"/>
      <w:marBottom w:val="0"/>
      <w:divBdr>
        <w:top w:val="none" w:sz="0" w:space="0" w:color="auto"/>
        <w:left w:val="none" w:sz="0" w:space="0" w:color="auto"/>
        <w:bottom w:val="none" w:sz="0" w:space="0" w:color="auto"/>
        <w:right w:val="none" w:sz="0" w:space="0" w:color="auto"/>
      </w:divBdr>
    </w:div>
    <w:div w:id="886722052">
      <w:bodyDiv w:val="1"/>
      <w:marLeft w:val="0"/>
      <w:marRight w:val="0"/>
      <w:marTop w:val="0"/>
      <w:marBottom w:val="0"/>
      <w:divBdr>
        <w:top w:val="none" w:sz="0" w:space="0" w:color="auto"/>
        <w:left w:val="none" w:sz="0" w:space="0" w:color="auto"/>
        <w:bottom w:val="none" w:sz="0" w:space="0" w:color="auto"/>
        <w:right w:val="none" w:sz="0" w:space="0" w:color="auto"/>
      </w:divBdr>
    </w:div>
    <w:div w:id="889726775">
      <w:bodyDiv w:val="1"/>
      <w:marLeft w:val="0"/>
      <w:marRight w:val="0"/>
      <w:marTop w:val="0"/>
      <w:marBottom w:val="0"/>
      <w:divBdr>
        <w:top w:val="none" w:sz="0" w:space="0" w:color="auto"/>
        <w:left w:val="none" w:sz="0" w:space="0" w:color="auto"/>
        <w:bottom w:val="none" w:sz="0" w:space="0" w:color="auto"/>
        <w:right w:val="none" w:sz="0" w:space="0" w:color="auto"/>
      </w:divBdr>
    </w:div>
    <w:div w:id="909777603">
      <w:bodyDiv w:val="1"/>
      <w:marLeft w:val="0"/>
      <w:marRight w:val="0"/>
      <w:marTop w:val="0"/>
      <w:marBottom w:val="0"/>
      <w:divBdr>
        <w:top w:val="none" w:sz="0" w:space="0" w:color="auto"/>
        <w:left w:val="none" w:sz="0" w:space="0" w:color="auto"/>
        <w:bottom w:val="none" w:sz="0" w:space="0" w:color="auto"/>
        <w:right w:val="none" w:sz="0" w:space="0" w:color="auto"/>
      </w:divBdr>
    </w:div>
    <w:div w:id="912855162">
      <w:bodyDiv w:val="1"/>
      <w:marLeft w:val="0"/>
      <w:marRight w:val="0"/>
      <w:marTop w:val="0"/>
      <w:marBottom w:val="0"/>
      <w:divBdr>
        <w:top w:val="none" w:sz="0" w:space="0" w:color="auto"/>
        <w:left w:val="none" w:sz="0" w:space="0" w:color="auto"/>
        <w:bottom w:val="none" w:sz="0" w:space="0" w:color="auto"/>
        <w:right w:val="none" w:sz="0" w:space="0" w:color="auto"/>
      </w:divBdr>
    </w:div>
    <w:div w:id="922374935">
      <w:bodyDiv w:val="1"/>
      <w:marLeft w:val="0"/>
      <w:marRight w:val="0"/>
      <w:marTop w:val="0"/>
      <w:marBottom w:val="0"/>
      <w:divBdr>
        <w:top w:val="none" w:sz="0" w:space="0" w:color="auto"/>
        <w:left w:val="none" w:sz="0" w:space="0" w:color="auto"/>
        <w:bottom w:val="none" w:sz="0" w:space="0" w:color="auto"/>
        <w:right w:val="none" w:sz="0" w:space="0" w:color="auto"/>
      </w:divBdr>
    </w:div>
    <w:div w:id="926038737">
      <w:bodyDiv w:val="1"/>
      <w:marLeft w:val="0"/>
      <w:marRight w:val="0"/>
      <w:marTop w:val="0"/>
      <w:marBottom w:val="0"/>
      <w:divBdr>
        <w:top w:val="none" w:sz="0" w:space="0" w:color="auto"/>
        <w:left w:val="none" w:sz="0" w:space="0" w:color="auto"/>
        <w:bottom w:val="none" w:sz="0" w:space="0" w:color="auto"/>
        <w:right w:val="none" w:sz="0" w:space="0" w:color="auto"/>
      </w:divBdr>
    </w:div>
    <w:div w:id="933635390">
      <w:bodyDiv w:val="1"/>
      <w:marLeft w:val="0"/>
      <w:marRight w:val="0"/>
      <w:marTop w:val="0"/>
      <w:marBottom w:val="0"/>
      <w:divBdr>
        <w:top w:val="none" w:sz="0" w:space="0" w:color="auto"/>
        <w:left w:val="none" w:sz="0" w:space="0" w:color="auto"/>
        <w:bottom w:val="none" w:sz="0" w:space="0" w:color="auto"/>
        <w:right w:val="none" w:sz="0" w:space="0" w:color="auto"/>
      </w:divBdr>
    </w:div>
    <w:div w:id="935484384">
      <w:bodyDiv w:val="1"/>
      <w:marLeft w:val="0"/>
      <w:marRight w:val="0"/>
      <w:marTop w:val="0"/>
      <w:marBottom w:val="0"/>
      <w:divBdr>
        <w:top w:val="none" w:sz="0" w:space="0" w:color="auto"/>
        <w:left w:val="none" w:sz="0" w:space="0" w:color="auto"/>
        <w:bottom w:val="none" w:sz="0" w:space="0" w:color="auto"/>
        <w:right w:val="none" w:sz="0" w:space="0" w:color="auto"/>
      </w:divBdr>
    </w:div>
    <w:div w:id="938219413">
      <w:bodyDiv w:val="1"/>
      <w:marLeft w:val="0"/>
      <w:marRight w:val="0"/>
      <w:marTop w:val="0"/>
      <w:marBottom w:val="0"/>
      <w:divBdr>
        <w:top w:val="none" w:sz="0" w:space="0" w:color="auto"/>
        <w:left w:val="none" w:sz="0" w:space="0" w:color="auto"/>
        <w:bottom w:val="none" w:sz="0" w:space="0" w:color="auto"/>
        <w:right w:val="none" w:sz="0" w:space="0" w:color="auto"/>
      </w:divBdr>
    </w:div>
    <w:div w:id="949972827">
      <w:bodyDiv w:val="1"/>
      <w:marLeft w:val="0"/>
      <w:marRight w:val="0"/>
      <w:marTop w:val="0"/>
      <w:marBottom w:val="0"/>
      <w:divBdr>
        <w:top w:val="none" w:sz="0" w:space="0" w:color="auto"/>
        <w:left w:val="none" w:sz="0" w:space="0" w:color="auto"/>
        <w:bottom w:val="none" w:sz="0" w:space="0" w:color="auto"/>
        <w:right w:val="none" w:sz="0" w:space="0" w:color="auto"/>
      </w:divBdr>
    </w:div>
    <w:div w:id="950865442">
      <w:bodyDiv w:val="1"/>
      <w:marLeft w:val="0"/>
      <w:marRight w:val="0"/>
      <w:marTop w:val="0"/>
      <w:marBottom w:val="0"/>
      <w:divBdr>
        <w:top w:val="none" w:sz="0" w:space="0" w:color="auto"/>
        <w:left w:val="none" w:sz="0" w:space="0" w:color="auto"/>
        <w:bottom w:val="none" w:sz="0" w:space="0" w:color="auto"/>
        <w:right w:val="none" w:sz="0" w:space="0" w:color="auto"/>
      </w:divBdr>
    </w:div>
    <w:div w:id="952712504">
      <w:bodyDiv w:val="1"/>
      <w:marLeft w:val="0"/>
      <w:marRight w:val="0"/>
      <w:marTop w:val="0"/>
      <w:marBottom w:val="0"/>
      <w:divBdr>
        <w:top w:val="none" w:sz="0" w:space="0" w:color="auto"/>
        <w:left w:val="none" w:sz="0" w:space="0" w:color="auto"/>
        <w:bottom w:val="none" w:sz="0" w:space="0" w:color="auto"/>
        <w:right w:val="none" w:sz="0" w:space="0" w:color="auto"/>
      </w:divBdr>
    </w:div>
    <w:div w:id="955721866">
      <w:bodyDiv w:val="1"/>
      <w:marLeft w:val="0"/>
      <w:marRight w:val="0"/>
      <w:marTop w:val="0"/>
      <w:marBottom w:val="0"/>
      <w:divBdr>
        <w:top w:val="none" w:sz="0" w:space="0" w:color="auto"/>
        <w:left w:val="none" w:sz="0" w:space="0" w:color="auto"/>
        <w:bottom w:val="none" w:sz="0" w:space="0" w:color="auto"/>
        <w:right w:val="none" w:sz="0" w:space="0" w:color="auto"/>
      </w:divBdr>
    </w:div>
    <w:div w:id="958531298">
      <w:bodyDiv w:val="1"/>
      <w:marLeft w:val="0"/>
      <w:marRight w:val="0"/>
      <w:marTop w:val="0"/>
      <w:marBottom w:val="0"/>
      <w:divBdr>
        <w:top w:val="none" w:sz="0" w:space="0" w:color="auto"/>
        <w:left w:val="none" w:sz="0" w:space="0" w:color="auto"/>
        <w:bottom w:val="none" w:sz="0" w:space="0" w:color="auto"/>
        <w:right w:val="none" w:sz="0" w:space="0" w:color="auto"/>
      </w:divBdr>
    </w:div>
    <w:div w:id="969476286">
      <w:bodyDiv w:val="1"/>
      <w:marLeft w:val="0"/>
      <w:marRight w:val="0"/>
      <w:marTop w:val="0"/>
      <w:marBottom w:val="0"/>
      <w:divBdr>
        <w:top w:val="none" w:sz="0" w:space="0" w:color="auto"/>
        <w:left w:val="none" w:sz="0" w:space="0" w:color="auto"/>
        <w:bottom w:val="none" w:sz="0" w:space="0" w:color="auto"/>
        <w:right w:val="none" w:sz="0" w:space="0" w:color="auto"/>
      </w:divBdr>
    </w:div>
    <w:div w:id="969826990">
      <w:bodyDiv w:val="1"/>
      <w:marLeft w:val="0"/>
      <w:marRight w:val="0"/>
      <w:marTop w:val="0"/>
      <w:marBottom w:val="0"/>
      <w:divBdr>
        <w:top w:val="none" w:sz="0" w:space="0" w:color="auto"/>
        <w:left w:val="none" w:sz="0" w:space="0" w:color="auto"/>
        <w:bottom w:val="none" w:sz="0" w:space="0" w:color="auto"/>
        <w:right w:val="none" w:sz="0" w:space="0" w:color="auto"/>
      </w:divBdr>
    </w:div>
    <w:div w:id="976883888">
      <w:bodyDiv w:val="1"/>
      <w:marLeft w:val="0"/>
      <w:marRight w:val="0"/>
      <w:marTop w:val="0"/>
      <w:marBottom w:val="0"/>
      <w:divBdr>
        <w:top w:val="none" w:sz="0" w:space="0" w:color="auto"/>
        <w:left w:val="none" w:sz="0" w:space="0" w:color="auto"/>
        <w:bottom w:val="none" w:sz="0" w:space="0" w:color="auto"/>
        <w:right w:val="none" w:sz="0" w:space="0" w:color="auto"/>
      </w:divBdr>
    </w:div>
    <w:div w:id="994988472">
      <w:bodyDiv w:val="1"/>
      <w:marLeft w:val="0"/>
      <w:marRight w:val="0"/>
      <w:marTop w:val="0"/>
      <w:marBottom w:val="0"/>
      <w:divBdr>
        <w:top w:val="none" w:sz="0" w:space="0" w:color="auto"/>
        <w:left w:val="none" w:sz="0" w:space="0" w:color="auto"/>
        <w:bottom w:val="none" w:sz="0" w:space="0" w:color="auto"/>
        <w:right w:val="none" w:sz="0" w:space="0" w:color="auto"/>
      </w:divBdr>
    </w:div>
    <w:div w:id="997003120">
      <w:bodyDiv w:val="1"/>
      <w:marLeft w:val="0"/>
      <w:marRight w:val="0"/>
      <w:marTop w:val="0"/>
      <w:marBottom w:val="0"/>
      <w:divBdr>
        <w:top w:val="none" w:sz="0" w:space="0" w:color="auto"/>
        <w:left w:val="none" w:sz="0" w:space="0" w:color="auto"/>
        <w:bottom w:val="none" w:sz="0" w:space="0" w:color="auto"/>
        <w:right w:val="none" w:sz="0" w:space="0" w:color="auto"/>
      </w:divBdr>
    </w:div>
    <w:div w:id="1015494342">
      <w:bodyDiv w:val="1"/>
      <w:marLeft w:val="0"/>
      <w:marRight w:val="0"/>
      <w:marTop w:val="0"/>
      <w:marBottom w:val="0"/>
      <w:divBdr>
        <w:top w:val="none" w:sz="0" w:space="0" w:color="auto"/>
        <w:left w:val="none" w:sz="0" w:space="0" w:color="auto"/>
        <w:bottom w:val="none" w:sz="0" w:space="0" w:color="auto"/>
        <w:right w:val="none" w:sz="0" w:space="0" w:color="auto"/>
      </w:divBdr>
    </w:div>
    <w:div w:id="1021396547">
      <w:bodyDiv w:val="1"/>
      <w:marLeft w:val="0"/>
      <w:marRight w:val="0"/>
      <w:marTop w:val="0"/>
      <w:marBottom w:val="0"/>
      <w:divBdr>
        <w:top w:val="none" w:sz="0" w:space="0" w:color="auto"/>
        <w:left w:val="none" w:sz="0" w:space="0" w:color="auto"/>
        <w:bottom w:val="none" w:sz="0" w:space="0" w:color="auto"/>
        <w:right w:val="none" w:sz="0" w:space="0" w:color="auto"/>
      </w:divBdr>
    </w:div>
    <w:div w:id="1021515469">
      <w:bodyDiv w:val="1"/>
      <w:marLeft w:val="0"/>
      <w:marRight w:val="0"/>
      <w:marTop w:val="0"/>
      <w:marBottom w:val="0"/>
      <w:divBdr>
        <w:top w:val="none" w:sz="0" w:space="0" w:color="auto"/>
        <w:left w:val="none" w:sz="0" w:space="0" w:color="auto"/>
        <w:bottom w:val="none" w:sz="0" w:space="0" w:color="auto"/>
        <w:right w:val="none" w:sz="0" w:space="0" w:color="auto"/>
      </w:divBdr>
    </w:div>
    <w:div w:id="1024404104">
      <w:bodyDiv w:val="1"/>
      <w:marLeft w:val="0"/>
      <w:marRight w:val="0"/>
      <w:marTop w:val="0"/>
      <w:marBottom w:val="0"/>
      <w:divBdr>
        <w:top w:val="none" w:sz="0" w:space="0" w:color="auto"/>
        <w:left w:val="none" w:sz="0" w:space="0" w:color="auto"/>
        <w:bottom w:val="none" w:sz="0" w:space="0" w:color="auto"/>
        <w:right w:val="none" w:sz="0" w:space="0" w:color="auto"/>
      </w:divBdr>
    </w:div>
    <w:div w:id="1034187566">
      <w:bodyDiv w:val="1"/>
      <w:marLeft w:val="0"/>
      <w:marRight w:val="0"/>
      <w:marTop w:val="0"/>
      <w:marBottom w:val="0"/>
      <w:divBdr>
        <w:top w:val="none" w:sz="0" w:space="0" w:color="auto"/>
        <w:left w:val="none" w:sz="0" w:space="0" w:color="auto"/>
        <w:bottom w:val="none" w:sz="0" w:space="0" w:color="auto"/>
        <w:right w:val="none" w:sz="0" w:space="0" w:color="auto"/>
      </w:divBdr>
    </w:div>
    <w:div w:id="1035736458">
      <w:bodyDiv w:val="1"/>
      <w:marLeft w:val="0"/>
      <w:marRight w:val="0"/>
      <w:marTop w:val="0"/>
      <w:marBottom w:val="0"/>
      <w:divBdr>
        <w:top w:val="none" w:sz="0" w:space="0" w:color="auto"/>
        <w:left w:val="none" w:sz="0" w:space="0" w:color="auto"/>
        <w:bottom w:val="none" w:sz="0" w:space="0" w:color="auto"/>
        <w:right w:val="none" w:sz="0" w:space="0" w:color="auto"/>
      </w:divBdr>
    </w:div>
    <w:div w:id="1037044039">
      <w:bodyDiv w:val="1"/>
      <w:marLeft w:val="0"/>
      <w:marRight w:val="0"/>
      <w:marTop w:val="0"/>
      <w:marBottom w:val="0"/>
      <w:divBdr>
        <w:top w:val="none" w:sz="0" w:space="0" w:color="auto"/>
        <w:left w:val="none" w:sz="0" w:space="0" w:color="auto"/>
        <w:bottom w:val="none" w:sz="0" w:space="0" w:color="auto"/>
        <w:right w:val="none" w:sz="0" w:space="0" w:color="auto"/>
      </w:divBdr>
    </w:div>
    <w:div w:id="1039473963">
      <w:bodyDiv w:val="1"/>
      <w:marLeft w:val="0"/>
      <w:marRight w:val="0"/>
      <w:marTop w:val="0"/>
      <w:marBottom w:val="0"/>
      <w:divBdr>
        <w:top w:val="none" w:sz="0" w:space="0" w:color="auto"/>
        <w:left w:val="none" w:sz="0" w:space="0" w:color="auto"/>
        <w:bottom w:val="none" w:sz="0" w:space="0" w:color="auto"/>
        <w:right w:val="none" w:sz="0" w:space="0" w:color="auto"/>
      </w:divBdr>
    </w:div>
    <w:div w:id="1043286062">
      <w:bodyDiv w:val="1"/>
      <w:marLeft w:val="0"/>
      <w:marRight w:val="0"/>
      <w:marTop w:val="0"/>
      <w:marBottom w:val="0"/>
      <w:divBdr>
        <w:top w:val="none" w:sz="0" w:space="0" w:color="auto"/>
        <w:left w:val="none" w:sz="0" w:space="0" w:color="auto"/>
        <w:bottom w:val="none" w:sz="0" w:space="0" w:color="auto"/>
        <w:right w:val="none" w:sz="0" w:space="0" w:color="auto"/>
      </w:divBdr>
    </w:div>
    <w:div w:id="1047219627">
      <w:bodyDiv w:val="1"/>
      <w:marLeft w:val="0"/>
      <w:marRight w:val="0"/>
      <w:marTop w:val="0"/>
      <w:marBottom w:val="0"/>
      <w:divBdr>
        <w:top w:val="none" w:sz="0" w:space="0" w:color="auto"/>
        <w:left w:val="none" w:sz="0" w:space="0" w:color="auto"/>
        <w:bottom w:val="none" w:sz="0" w:space="0" w:color="auto"/>
        <w:right w:val="none" w:sz="0" w:space="0" w:color="auto"/>
      </w:divBdr>
    </w:div>
    <w:div w:id="1054281994">
      <w:bodyDiv w:val="1"/>
      <w:marLeft w:val="0"/>
      <w:marRight w:val="0"/>
      <w:marTop w:val="0"/>
      <w:marBottom w:val="0"/>
      <w:divBdr>
        <w:top w:val="none" w:sz="0" w:space="0" w:color="auto"/>
        <w:left w:val="none" w:sz="0" w:space="0" w:color="auto"/>
        <w:bottom w:val="none" w:sz="0" w:space="0" w:color="auto"/>
        <w:right w:val="none" w:sz="0" w:space="0" w:color="auto"/>
      </w:divBdr>
    </w:div>
    <w:div w:id="1090736998">
      <w:bodyDiv w:val="1"/>
      <w:marLeft w:val="0"/>
      <w:marRight w:val="0"/>
      <w:marTop w:val="0"/>
      <w:marBottom w:val="0"/>
      <w:divBdr>
        <w:top w:val="none" w:sz="0" w:space="0" w:color="auto"/>
        <w:left w:val="none" w:sz="0" w:space="0" w:color="auto"/>
        <w:bottom w:val="none" w:sz="0" w:space="0" w:color="auto"/>
        <w:right w:val="none" w:sz="0" w:space="0" w:color="auto"/>
      </w:divBdr>
    </w:div>
    <w:div w:id="1092823473">
      <w:bodyDiv w:val="1"/>
      <w:marLeft w:val="0"/>
      <w:marRight w:val="0"/>
      <w:marTop w:val="0"/>
      <w:marBottom w:val="0"/>
      <w:divBdr>
        <w:top w:val="none" w:sz="0" w:space="0" w:color="auto"/>
        <w:left w:val="none" w:sz="0" w:space="0" w:color="auto"/>
        <w:bottom w:val="none" w:sz="0" w:space="0" w:color="auto"/>
        <w:right w:val="none" w:sz="0" w:space="0" w:color="auto"/>
      </w:divBdr>
    </w:div>
    <w:div w:id="1095588350">
      <w:bodyDiv w:val="1"/>
      <w:marLeft w:val="0"/>
      <w:marRight w:val="0"/>
      <w:marTop w:val="0"/>
      <w:marBottom w:val="0"/>
      <w:divBdr>
        <w:top w:val="none" w:sz="0" w:space="0" w:color="auto"/>
        <w:left w:val="none" w:sz="0" w:space="0" w:color="auto"/>
        <w:bottom w:val="none" w:sz="0" w:space="0" w:color="auto"/>
        <w:right w:val="none" w:sz="0" w:space="0" w:color="auto"/>
      </w:divBdr>
    </w:div>
    <w:div w:id="1101413412">
      <w:bodyDiv w:val="1"/>
      <w:marLeft w:val="0"/>
      <w:marRight w:val="0"/>
      <w:marTop w:val="0"/>
      <w:marBottom w:val="0"/>
      <w:divBdr>
        <w:top w:val="none" w:sz="0" w:space="0" w:color="auto"/>
        <w:left w:val="none" w:sz="0" w:space="0" w:color="auto"/>
        <w:bottom w:val="none" w:sz="0" w:space="0" w:color="auto"/>
        <w:right w:val="none" w:sz="0" w:space="0" w:color="auto"/>
      </w:divBdr>
    </w:div>
    <w:div w:id="1110052247">
      <w:bodyDiv w:val="1"/>
      <w:marLeft w:val="0"/>
      <w:marRight w:val="0"/>
      <w:marTop w:val="0"/>
      <w:marBottom w:val="0"/>
      <w:divBdr>
        <w:top w:val="none" w:sz="0" w:space="0" w:color="auto"/>
        <w:left w:val="none" w:sz="0" w:space="0" w:color="auto"/>
        <w:bottom w:val="none" w:sz="0" w:space="0" w:color="auto"/>
        <w:right w:val="none" w:sz="0" w:space="0" w:color="auto"/>
      </w:divBdr>
    </w:div>
    <w:div w:id="1115557044">
      <w:bodyDiv w:val="1"/>
      <w:marLeft w:val="0"/>
      <w:marRight w:val="0"/>
      <w:marTop w:val="0"/>
      <w:marBottom w:val="0"/>
      <w:divBdr>
        <w:top w:val="none" w:sz="0" w:space="0" w:color="auto"/>
        <w:left w:val="none" w:sz="0" w:space="0" w:color="auto"/>
        <w:bottom w:val="none" w:sz="0" w:space="0" w:color="auto"/>
        <w:right w:val="none" w:sz="0" w:space="0" w:color="auto"/>
      </w:divBdr>
    </w:div>
    <w:div w:id="1119643608">
      <w:bodyDiv w:val="1"/>
      <w:marLeft w:val="0"/>
      <w:marRight w:val="0"/>
      <w:marTop w:val="0"/>
      <w:marBottom w:val="0"/>
      <w:divBdr>
        <w:top w:val="none" w:sz="0" w:space="0" w:color="auto"/>
        <w:left w:val="none" w:sz="0" w:space="0" w:color="auto"/>
        <w:bottom w:val="none" w:sz="0" w:space="0" w:color="auto"/>
        <w:right w:val="none" w:sz="0" w:space="0" w:color="auto"/>
      </w:divBdr>
    </w:div>
    <w:div w:id="1122459642">
      <w:bodyDiv w:val="1"/>
      <w:marLeft w:val="0"/>
      <w:marRight w:val="0"/>
      <w:marTop w:val="0"/>
      <w:marBottom w:val="0"/>
      <w:divBdr>
        <w:top w:val="none" w:sz="0" w:space="0" w:color="auto"/>
        <w:left w:val="none" w:sz="0" w:space="0" w:color="auto"/>
        <w:bottom w:val="none" w:sz="0" w:space="0" w:color="auto"/>
        <w:right w:val="none" w:sz="0" w:space="0" w:color="auto"/>
      </w:divBdr>
    </w:div>
    <w:div w:id="1123579318">
      <w:bodyDiv w:val="1"/>
      <w:marLeft w:val="0"/>
      <w:marRight w:val="0"/>
      <w:marTop w:val="0"/>
      <w:marBottom w:val="0"/>
      <w:divBdr>
        <w:top w:val="none" w:sz="0" w:space="0" w:color="auto"/>
        <w:left w:val="none" w:sz="0" w:space="0" w:color="auto"/>
        <w:bottom w:val="none" w:sz="0" w:space="0" w:color="auto"/>
        <w:right w:val="none" w:sz="0" w:space="0" w:color="auto"/>
      </w:divBdr>
    </w:div>
    <w:div w:id="1146896883">
      <w:bodyDiv w:val="1"/>
      <w:marLeft w:val="0"/>
      <w:marRight w:val="0"/>
      <w:marTop w:val="0"/>
      <w:marBottom w:val="0"/>
      <w:divBdr>
        <w:top w:val="none" w:sz="0" w:space="0" w:color="auto"/>
        <w:left w:val="none" w:sz="0" w:space="0" w:color="auto"/>
        <w:bottom w:val="none" w:sz="0" w:space="0" w:color="auto"/>
        <w:right w:val="none" w:sz="0" w:space="0" w:color="auto"/>
      </w:divBdr>
    </w:div>
    <w:div w:id="1147088096">
      <w:bodyDiv w:val="1"/>
      <w:marLeft w:val="0"/>
      <w:marRight w:val="0"/>
      <w:marTop w:val="0"/>
      <w:marBottom w:val="0"/>
      <w:divBdr>
        <w:top w:val="none" w:sz="0" w:space="0" w:color="auto"/>
        <w:left w:val="none" w:sz="0" w:space="0" w:color="auto"/>
        <w:bottom w:val="none" w:sz="0" w:space="0" w:color="auto"/>
        <w:right w:val="none" w:sz="0" w:space="0" w:color="auto"/>
      </w:divBdr>
    </w:div>
    <w:div w:id="1156192364">
      <w:bodyDiv w:val="1"/>
      <w:marLeft w:val="0"/>
      <w:marRight w:val="0"/>
      <w:marTop w:val="0"/>
      <w:marBottom w:val="0"/>
      <w:divBdr>
        <w:top w:val="none" w:sz="0" w:space="0" w:color="auto"/>
        <w:left w:val="none" w:sz="0" w:space="0" w:color="auto"/>
        <w:bottom w:val="none" w:sz="0" w:space="0" w:color="auto"/>
        <w:right w:val="none" w:sz="0" w:space="0" w:color="auto"/>
      </w:divBdr>
    </w:div>
    <w:div w:id="1165433684">
      <w:bodyDiv w:val="1"/>
      <w:marLeft w:val="0"/>
      <w:marRight w:val="0"/>
      <w:marTop w:val="0"/>
      <w:marBottom w:val="0"/>
      <w:divBdr>
        <w:top w:val="none" w:sz="0" w:space="0" w:color="auto"/>
        <w:left w:val="none" w:sz="0" w:space="0" w:color="auto"/>
        <w:bottom w:val="none" w:sz="0" w:space="0" w:color="auto"/>
        <w:right w:val="none" w:sz="0" w:space="0" w:color="auto"/>
      </w:divBdr>
    </w:div>
    <w:div w:id="1168594113">
      <w:bodyDiv w:val="1"/>
      <w:marLeft w:val="0"/>
      <w:marRight w:val="0"/>
      <w:marTop w:val="0"/>
      <w:marBottom w:val="0"/>
      <w:divBdr>
        <w:top w:val="none" w:sz="0" w:space="0" w:color="auto"/>
        <w:left w:val="none" w:sz="0" w:space="0" w:color="auto"/>
        <w:bottom w:val="none" w:sz="0" w:space="0" w:color="auto"/>
        <w:right w:val="none" w:sz="0" w:space="0" w:color="auto"/>
      </w:divBdr>
    </w:div>
    <w:div w:id="1175652379">
      <w:bodyDiv w:val="1"/>
      <w:marLeft w:val="0"/>
      <w:marRight w:val="0"/>
      <w:marTop w:val="0"/>
      <w:marBottom w:val="0"/>
      <w:divBdr>
        <w:top w:val="none" w:sz="0" w:space="0" w:color="auto"/>
        <w:left w:val="none" w:sz="0" w:space="0" w:color="auto"/>
        <w:bottom w:val="none" w:sz="0" w:space="0" w:color="auto"/>
        <w:right w:val="none" w:sz="0" w:space="0" w:color="auto"/>
      </w:divBdr>
    </w:div>
    <w:div w:id="1189832907">
      <w:bodyDiv w:val="1"/>
      <w:marLeft w:val="0"/>
      <w:marRight w:val="0"/>
      <w:marTop w:val="0"/>
      <w:marBottom w:val="0"/>
      <w:divBdr>
        <w:top w:val="none" w:sz="0" w:space="0" w:color="auto"/>
        <w:left w:val="none" w:sz="0" w:space="0" w:color="auto"/>
        <w:bottom w:val="none" w:sz="0" w:space="0" w:color="auto"/>
        <w:right w:val="none" w:sz="0" w:space="0" w:color="auto"/>
      </w:divBdr>
    </w:div>
    <w:div w:id="1192298508">
      <w:bodyDiv w:val="1"/>
      <w:marLeft w:val="0"/>
      <w:marRight w:val="0"/>
      <w:marTop w:val="0"/>
      <w:marBottom w:val="0"/>
      <w:divBdr>
        <w:top w:val="none" w:sz="0" w:space="0" w:color="auto"/>
        <w:left w:val="none" w:sz="0" w:space="0" w:color="auto"/>
        <w:bottom w:val="none" w:sz="0" w:space="0" w:color="auto"/>
        <w:right w:val="none" w:sz="0" w:space="0" w:color="auto"/>
      </w:divBdr>
    </w:div>
    <w:div w:id="1196195399">
      <w:bodyDiv w:val="1"/>
      <w:marLeft w:val="0"/>
      <w:marRight w:val="0"/>
      <w:marTop w:val="0"/>
      <w:marBottom w:val="0"/>
      <w:divBdr>
        <w:top w:val="none" w:sz="0" w:space="0" w:color="auto"/>
        <w:left w:val="none" w:sz="0" w:space="0" w:color="auto"/>
        <w:bottom w:val="none" w:sz="0" w:space="0" w:color="auto"/>
        <w:right w:val="none" w:sz="0" w:space="0" w:color="auto"/>
      </w:divBdr>
    </w:div>
    <w:div w:id="1198347198">
      <w:bodyDiv w:val="1"/>
      <w:marLeft w:val="0"/>
      <w:marRight w:val="0"/>
      <w:marTop w:val="0"/>
      <w:marBottom w:val="0"/>
      <w:divBdr>
        <w:top w:val="none" w:sz="0" w:space="0" w:color="auto"/>
        <w:left w:val="none" w:sz="0" w:space="0" w:color="auto"/>
        <w:bottom w:val="none" w:sz="0" w:space="0" w:color="auto"/>
        <w:right w:val="none" w:sz="0" w:space="0" w:color="auto"/>
      </w:divBdr>
    </w:div>
    <w:div w:id="1200581424">
      <w:bodyDiv w:val="1"/>
      <w:marLeft w:val="0"/>
      <w:marRight w:val="0"/>
      <w:marTop w:val="0"/>
      <w:marBottom w:val="0"/>
      <w:divBdr>
        <w:top w:val="none" w:sz="0" w:space="0" w:color="auto"/>
        <w:left w:val="none" w:sz="0" w:space="0" w:color="auto"/>
        <w:bottom w:val="none" w:sz="0" w:space="0" w:color="auto"/>
        <w:right w:val="none" w:sz="0" w:space="0" w:color="auto"/>
      </w:divBdr>
    </w:div>
    <w:div w:id="1201433310">
      <w:bodyDiv w:val="1"/>
      <w:marLeft w:val="0"/>
      <w:marRight w:val="0"/>
      <w:marTop w:val="0"/>
      <w:marBottom w:val="0"/>
      <w:divBdr>
        <w:top w:val="none" w:sz="0" w:space="0" w:color="auto"/>
        <w:left w:val="none" w:sz="0" w:space="0" w:color="auto"/>
        <w:bottom w:val="none" w:sz="0" w:space="0" w:color="auto"/>
        <w:right w:val="none" w:sz="0" w:space="0" w:color="auto"/>
      </w:divBdr>
    </w:div>
    <w:div w:id="1203515055">
      <w:bodyDiv w:val="1"/>
      <w:marLeft w:val="0"/>
      <w:marRight w:val="0"/>
      <w:marTop w:val="0"/>
      <w:marBottom w:val="0"/>
      <w:divBdr>
        <w:top w:val="none" w:sz="0" w:space="0" w:color="auto"/>
        <w:left w:val="none" w:sz="0" w:space="0" w:color="auto"/>
        <w:bottom w:val="none" w:sz="0" w:space="0" w:color="auto"/>
        <w:right w:val="none" w:sz="0" w:space="0" w:color="auto"/>
      </w:divBdr>
    </w:div>
    <w:div w:id="1203712804">
      <w:bodyDiv w:val="1"/>
      <w:marLeft w:val="0"/>
      <w:marRight w:val="0"/>
      <w:marTop w:val="0"/>
      <w:marBottom w:val="0"/>
      <w:divBdr>
        <w:top w:val="none" w:sz="0" w:space="0" w:color="auto"/>
        <w:left w:val="none" w:sz="0" w:space="0" w:color="auto"/>
        <w:bottom w:val="none" w:sz="0" w:space="0" w:color="auto"/>
        <w:right w:val="none" w:sz="0" w:space="0" w:color="auto"/>
      </w:divBdr>
    </w:div>
    <w:div w:id="1209217490">
      <w:bodyDiv w:val="1"/>
      <w:marLeft w:val="0"/>
      <w:marRight w:val="0"/>
      <w:marTop w:val="0"/>
      <w:marBottom w:val="0"/>
      <w:divBdr>
        <w:top w:val="none" w:sz="0" w:space="0" w:color="auto"/>
        <w:left w:val="none" w:sz="0" w:space="0" w:color="auto"/>
        <w:bottom w:val="none" w:sz="0" w:space="0" w:color="auto"/>
        <w:right w:val="none" w:sz="0" w:space="0" w:color="auto"/>
      </w:divBdr>
    </w:div>
    <w:div w:id="1241141880">
      <w:bodyDiv w:val="1"/>
      <w:marLeft w:val="0"/>
      <w:marRight w:val="0"/>
      <w:marTop w:val="0"/>
      <w:marBottom w:val="0"/>
      <w:divBdr>
        <w:top w:val="none" w:sz="0" w:space="0" w:color="auto"/>
        <w:left w:val="none" w:sz="0" w:space="0" w:color="auto"/>
        <w:bottom w:val="none" w:sz="0" w:space="0" w:color="auto"/>
        <w:right w:val="none" w:sz="0" w:space="0" w:color="auto"/>
      </w:divBdr>
    </w:div>
    <w:div w:id="1246068145">
      <w:bodyDiv w:val="1"/>
      <w:marLeft w:val="0"/>
      <w:marRight w:val="0"/>
      <w:marTop w:val="0"/>
      <w:marBottom w:val="0"/>
      <w:divBdr>
        <w:top w:val="none" w:sz="0" w:space="0" w:color="auto"/>
        <w:left w:val="none" w:sz="0" w:space="0" w:color="auto"/>
        <w:bottom w:val="none" w:sz="0" w:space="0" w:color="auto"/>
        <w:right w:val="none" w:sz="0" w:space="0" w:color="auto"/>
      </w:divBdr>
    </w:div>
    <w:div w:id="1251623113">
      <w:bodyDiv w:val="1"/>
      <w:marLeft w:val="0"/>
      <w:marRight w:val="0"/>
      <w:marTop w:val="0"/>
      <w:marBottom w:val="0"/>
      <w:divBdr>
        <w:top w:val="none" w:sz="0" w:space="0" w:color="auto"/>
        <w:left w:val="none" w:sz="0" w:space="0" w:color="auto"/>
        <w:bottom w:val="none" w:sz="0" w:space="0" w:color="auto"/>
        <w:right w:val="none" w:sz="0" w:space="0" w:color="auto"/>
      </w:divBdr>
    </w:div>
    <w:div w:id="1252351913">
      <w:bodyDiv w:val="1"/>
      <w:marLeft w:val="0"/>
      <w:marRight w:val="0"/>
      <w:marTop w:val="0"/>
      <w:marBottom w:val="0"/>
      <w:divBdr>
        <w:top w:val="none" w:sz="0" w:space="0" w:color="auto"/>
        <w:left w:val="none" w:sz="0" w:space="0" w:color="auto"/>
        <w:bottom w:val="none" w:sz="0" w:space="0" w:color="auto"/>
        <w:right w:val="none" w:sz="0" w:space="0" w:color="auto"/>
      </w:divBdr>
    </w:div>
    <w:div w:id="1253854112">
      <w:bodyDiv w:val="1"/>
      <w:marLeft w:val="0"/>
      <w:marRight w:val="0"/>
      <w:marTop w:val="0"/>
      <w:marBottom w:val="0"/>
      <w:divBdr>
        <w:top w:val="none" w:sz="0" w:space="0" w:color="auto"/>
        <w:left w:val="none" w:sz="0" w:space="0" w:color="auto"/>
        <w:bottom w:val="none" w:sz="0" w:space="0" w:color="auto"/>
        <w:right w:val="none" w:sz="0" w:space="0" w:color="auto"/>
      </w:divBdr>
    </w:div>
    <w:div w:id="1263224853">
      <w:bodyDiv w:val="1"/>
      <w:marLeft w:val="0"/>
      <w:marRight w:val="0"/>
      <w:marTop w:val="0"/>
      <w:marBottom w:val="0"/>
      <w:divBdr>
        <w:top w:val="none" w:sz="0" w:space="0" w:color="auto"/>
        <w:left w:val="none" w:sz="0" w:space="0" w:color="auto"/>
        <w:bottom w:val="none" w:sz="0" w:space="0" w:color="auto"/>
        <w:right w:val="none" w:sz="0" w:space="0" w:color="auto"/>
      </w:divBdr>
    </w:div>
    <w:div w:id="1265384241">
      <w:bodyDiv w:val="1"/>
      <w:marLeft w:val="0"/>
      <w:marRight w:val="0"/>
      <w:marTop w:val="0"/>
      <w:marBottom w:val="0"/>
      <w:divBdr>
        <w:top w:val="none" w:sz="0" w:space="0" w:color="auto"/>
        <w:left w:val="none" w:sz="0" w:space="0" w:color="auto"/>
        <w:bottom w:val="none" w:sz="0" w:space="0" w:color="auto"/>
        <w:right w:val="none" w:sz="0" w:space="0" w:color="auto"/>
      </w:divBdr>
    </w:div>
    <w:div w:id="1272204282">
      <w:bodyDiv w:val="1"/>
      <w:marLeft w:val="0"/>
      <w:marRight w:val="0"/>
      <w:marTop w:val="0"/>
      <w:marBottom w:val="0"/>
      <w:divBdr>
        <w:top w:val="none" w:sz="0" w:space="0" w:color="auto"/>
        <w:left w:val="none" w:sz="0" w:space="0" w:color="auto"/>
        <w:bottom w:val="none" w:sz="0" w:space="0" w:color="auto"/>
        <w:right w:val="none" w:sz="0" w:space="0" w:color="auto"/>
      </w:divBdr>
    </w:div>
    <w:div w:id="1275792590">
      <w:bodyDiv w:val="1"/>
      <w:marLeft w:val="0"/>
      <w:marRight w:val="0"/>
      <w:marTop w:val="0"/>
      <w:marBottom w:val="0"/>
      <w:divBdr>
        <w:top w:val="none" w:sz="0" w:space="0" w:color="auto"/>
        <w:left w:val="none" w:sz="0" w:space="0" w:color="auto"/>
        <w:bottom w:val="none" w:sz="0" w:space="0" w:color="auto"/>
        <w:right w:val="none" w:sz="0" w:space="0" w:color="auto"/>
      </w:divBdr>
    </w:div>
    <w:div w:id="1282955991">
      <w:bodyDiv w:val="1"/>
      <w:marLeft w:val="0"/>
      <w:marRight w:val="0"/>
      <w:marTop w:val="0"/>
      <w:marBottom w:val="0"/>
      <w:divBdr>
        <w:top w:val="none" w:sz="0" w:space="0" w:color="auto"/>
        <w:left w:val="none" w:sz="0" w:space="0" w:color="auto"/>
        <w:bottom w:val="none" w:sz="0" w:space="0" w:color="auto"/>
        <w:right w:val="none" w:sz="0" w:space="0" w:color="auto"/>
      </w:divBdr>
    </w:div>
    <w:div w:id="1285428740">
      <w:bodyDiv w:val="1"/>
      <w:marLeft w:val="0"/>
      <w:marRight w:val="0"/>
      <w:marTop w:val="0"/>
      <w:marBottom w:val="0"/>
      <w:divBdr>
        <w:top w:val="none" w:sz="0" w:space="0" w:color="auto"/>
        <w:left w:val="none" w:sz="0" w:space="0" w:color="auto"/>
        <w:bottom w:val="none" w:sz="0" w:space="0" w:color="auto"/>
        <w:right w:val="none" w:sz="0" w:space="0" w:color="auto"/>
      </w:divBdr>
    </w:div>
    <w:div w:id="1294482241">
      <w:bodyDiv w:val="1"/>
      <w:marLeft w:val="0"/>
      <w:marRight w:val="0"/>
      <w:marTop w:val="0"/>
      <w:marBottom w:val="0"/>
      <w:divBdr>
        <w:top w:val="none" w:sz="0" w:space="0" w:color="auto"/>
        <w:left w:val="none" w:sz="0" w:space="0" w:color="auto"/>
        <w:bottom w:val="none" w:sz="0" w:space="0" w:color="auto"/>
        <w:right w:val="none" w:sz="0" w:space="0" w:color="auto"/>
      </w:divBdr>
    </w:div>
    <w:div w:id="1300187742">
      <w:bodyDiv w:val="1"/>
      <w:marLeft w:val="0"/>
      <w:marRight w:val="0"/>
      <w:marTop w:val="0"/>
      <w:marBottom w:val="0"/>
      <w:divBdr>
        <w:top w:val="none" w:sz="0" w:space="0" w:color="auto"/>
        <w:left w:val="none" w:sz="0" w:space="0" w:color="auto"/>
        <w:bottom w:val="none" w:sz="0" w:space="0" w:color="auto"/>
        <w:right w:val="none" w:sz="0" w:space="0" w:color="auto"/>
      </w:divBdr>
    </w:div>
    <w:div w:id="1305508645">
      <w:bodyDiv w:val="1"/>
      <w:marLeft w:val="0"/>
      <w:marRight w:val="0"/>
      <w:marTop w:val="0"/>
      <w:marBottom w:val="0"/>
      <w:divBdr>
        <w:top w:val="none" w:sz="0" w:space="0" w:color="auto"/>
        <w:left w:val="none" w:sz="0" w:space="0" w:color="auto"/>
        <w:bottom w:val="none" w:sz="0" w:space="0" w:color="auto"/>
        <w:right w:val="none" w:sz="0" w:space="0" w:color="auto"/>
      </w:divBdr>
    </w:div>
    <w:div w:id="1307272833">
      <w:bodyDiv w:val="1"/>
      <w:marLeft w:val="0"/>
      <w:marRight w:val="0"/>
      <w:marTop w:val="0"/>
      <w:marBottom w:val="0"/>
      <w:divBdr>
        <w:top w:val="none" w:sz="0" w:space="0" w:color="auto"/>
        <w:left w:val="none" w:sz="0" w:space="0" w:color="auto"/>
        <w:bottom w:val="none" w:sz="0" w:space="0" w:color="auto"/>
        <w:right w:val="none" w:sz="0" w:space="0" w:color="auto"/>
      </w:divBdr>
    </w:div>
    <w:div w:id="1322154198">
      <w:bodyDiv w:val="1"/>
      <w:marLeft w:val="0"/>
      <w:marRight w:val="0"/>
      <w:marTop w:val="0"/>
      <w:marBottom w:val="0"/>
      <w:divBdr>
        <w:top w:val="none" w:sz="0" w:space="0" w:color="auto"/>
        <w:left w:val="none" w:sz="0" w:space="0" w:color="auto"/>
        <w:bottom w:val="none" w:sz="0" w:space="0" w:color="auto"/>
        <w:right w:val="none" w:sz="0" w:space="0" w:color="auto"/>
      </w:divBdr>
    </w:div>
    <w:div w:id="1325278269">
      <w:bodyDiv w:val="1"/>
      <w:marLeft w:val="0"/>
      <w:marRight w:val="0"/>
      <w:marTop w:val="0"/>
      <w:marBottom w:val="0"/>
      <w:divBdr>
        <w:top w:val="none" w:sz="0" w:space="0" w:color="auto"/>
        <w:left w:val="none" w:sz="0" w:space="0" w:color="auto"/>
        <w:bottom w:val="none" w:sz="0" w:space="0" w:color="auto"/>
        <w:right w:val="none" w:sz="0" w:space="0" w:color="auto"/>
      </w:divBdr>
    </w:div>
    <w:div w:id="1333485154">
      <w:bodyDiv w:val="1"/>
      <w:marLeft w:val="0"/>
      <w:marRight w:val="0"/>
      <w:marTop w:val="0"/>
      <w:marBottom w:val="0"/>
      <w:divBdr>
        <w:top w:val="none" w:sz="0" w:space="0" w:color="auto"/>
        <w:left w:val="none" w:sz="0" w:space="0" w:color="auto"/>
        <w:bottom w:val="none" w:sz="0" w:space="0" w:color="auto"/>
        <w:right w:val="none" w:sz="0" w:space="0" w:color="auto"/>
      </w:divBdr>
    </w:div>
    <w:div w:id="1340544089">
      <w:bodyDiv w:val="1"/>
      <w:marLeft w:val="0"/>
      <w:marRight w:val="0"/>
      <w:marTop w:val="0"/>
      <w:marBottom w:val="0"/>
      <w:divBdr>
        <w:top w:val="none" w:sz="0" w:space="0" w:color="auto"/>
        <w:left w:val="none" w:sz="0" w:space="0" w:color="auto"/>
        <w:bottom w:val="none" w:sz="0" w:space="0" w:color="auto"/>
        <w:right w:val="none" w:sz="0" w:space="0" w:color="auto"/>
      </w:divBdr>
    </w:div>
    <w:div w:id="1346787818">
      <w:bodyDiv w:val="1"/>
      <w:marLeft w:val="0"/>
      <w:marRight w:val="0"/>
      <w:marTop w:val="0"/>
      <w:marBottom w:val="0"/>
      <w:divBdr>
        <w:top w:val="none" w:sz="0" w:space="0" w:color="auto"/>
        <w:left w:val="none" w:sz="0" w:space="0" w:color="auto"/>
        <w:bottom w:val="none" w:sz="0" w:space="0" w:color="auto"/>
        <w:right w:val="none" w:sz="0" w:space="0" w:color="auto"/>
      </w:divBdr>
    </w:div>
    <w:div w:id="1348946473">
      <w:bodyDiv w:val="1"/>
      <w:marLeft w:val="0"/>
      <w:marRight w:val="0"/>
      <w:marTop w:val="0"/>
      <w:marBottom w:val="0"/>
      <w:divBdr>
        <w:top w:val="none" w:sz="0" w:space="0" w:color="auto"/>
        <w:left w:val="none" w:sz="0" w:space="0" w:color="auto"/>
        <w:bottom w:val="none" w:sz="0" w:space="0" w:color="auto"/>
        <w:right w:val="none" w:sz="0" w:space="0" w:color="auto"/>
      </w:divBdr>
    </w:div>
    <w:div w:id="1351683688">
      <w:bodyDiv w:val="1"/>
      <w:marLeft w:val="0"/>
      <w:marRight w:val="0"/>
      <w:marTop w:val="0"/>
      <w:marBottom w:val="0"/>
      <w:divBdr>
        <w:top w:val="none" w:sz="0" w:space="0" w:color="auto"/>
        <w:left w:val="none" w:sz="0" w:space="0" w:color="auto"/>
        <w:bottom w:val="none" w:sz="0" w:space="0" w:color="auto"/>
        <w:right w:val="none" w:sz="0" w:space="0" w:color="auto"/>
      </w:divBdr>
    </w:div>
    <w:div w:id="1355111576">
      <w:bodyDiv w:val="1"/>
      <w:marLeft w:val="0"/>
      <w:marRight w:val="0"/>
      <w:marTop w:val="0"/>
      <w:marBottom w:val="0"/>
      <w:divBdr>
        <w:top w:val="none" w:sz="0" w:space="0" w:color="auto"/>
        <w:left w:val="none" w:sz="0" w:space="0" w:color="auto"/>
        <w:bottom w:val="none" w:sz="0" w:space="0" w:color="auto"/>
        <w:right w:val="none" w:sz="0" w:space="0" w:color="auto"/>
      </w:divBdr>
    </w:div>
    <w:div w:id="1364481142">
      <w:bodyDiv w:val="1"/>
      <w:marLeft w:val="0"/>
      <w:marRight w:val="0"/>
      <w:marTop w:val="0"/>
      <w:marBottom w:val="0"/>
      <w:divBdr>
        <w:top w:val="none" w:sz="0" w:space="0" w:color="auto"/>
        <w:left w:val="none" w:sz="0" w:space="0" w:color="auto"/>
        <w:bottom w:val="none" w:sz="0" w:space="0" w:color="auto"/>
        <w:right w:val="none" w:sz="0" w:space="0" w:color="auto"/>
      </w:divBdr>
    </w:div>
    <w:div w:id="1374386387">
      <w:bodyDiv w:val="1"/>
      <w:marLeft w:val="0"/>
      <w:marRight w:val="0"/>
      <w:marTop w:val="0"/>
      <w:marBottom w:val="0"/>
      <w:divBdr>
        <w:top w:val="none" w:sz="0" w:space="0" w:color="auto"/>
        <w:left w:val="none" w:sz="0" w:space="0" w:color="auto"/>
        <w:bottom w:val="none" w:sz="0" w:space="0" w:color="auto"/>
        <w:right w:val="none" w:sz="0" w:space="0" w:color="auto"/>
      </w:divBdr>
    </w:div>
    <w:div w:id="1389495364">
      <w:bodyDiv w:val="1"/>
      <w:marLeft w:val="0"/>
      <w:marRight w:val="0"/>
      <w:marTop w:val="0"/>
      <w:marBottom w:val="0"/>
      <w:divBdr>
        <w:top w:val="none" w:sz="0" w:space="0" w:color="auto"/>
        <w:left w:val="none" w:sz="0" w:space="0" w:color="auto"/>
        <w:bottom w:val="none" w:sz="0" w:space="0" w:color="auto"/>
        <w:right w:val="none" w:sz="0" w:space="0" w:color="auto"/>
      </w:divBdr>
    </w:div>
    <w:div w:id="1395350267">
      <w:bodyDiv w:val="1"/>
      <w:marLeft w:val="0"/>
      <w:marRight w:val="0"/>
      <w:marTop w:val="0"/>
      <w:marBottom w:val="0"/>
      <w:divBdr>
        <w:top w:val="none" w:sz="0" w:space="0" w:color="auto"/>
        <w:left w:val="none" w:sz="0" w:space="0" w:color="auto"/>
        <w:bottom w:val="none" w:sz="0" w:space="0" w:color="auto"/>
        <w:right w:val="none" w:sz="0" w:space="0" w:color="auto"/>
      </w:divBdr>
    </w:div>
    <w:div w:id="1413119073">
      <w:bodyDiv w:val="1"/>
      <w:marLeft w:val="0"/>
      <w:marRight w:val="0"/>
      <w:marTop w:val="0"/>
      <w:marBottom w:val="0"/>
      <w:divBdr>
        <w:top w:val="none" w:sz="0" w:space="0" w:color="auto"/>
        <w:left w:val="none" w:sz="0" w:space="0" w:color="auto"/>
        <w:bottom w:val="none" w:sz="0" w:space="0" w:color="auto"/>
        <w:right w:val="none" w:sz="0" w:space="0" w:color="auto"/>
      </w:divBdr>
    </w:div>
    <w:div w:id="1422605946">
      <w:bodyDiv w:val="1"/>
      <w:marLeft w:val="0"/>
      <w:marRight w:val="0"/>
      <w:marTop w:val="0"/>
      <w:marBottom w:val="0"/>
      <w:divBdr>
        <w:top w:val="none" w:sz="0" w:space="0" w:color="auto"/>
        <w:left w:val="none" w:sz="0" w:space="0" w:color="auto"/>
        <w:bottom w:val="none" w:sz="0" w:space="0" w:color="auto"/>
        <w:right w:val="none" w:sz="0" w:space="0" w:color="auto"/>
      </w:divBdr>
    </w:div>
    <w:div w:id="1425147509">
      <w:bodyDiv w:val="1"/>
      <w:marLeft w:val="0"/>
      <w:marRight w:val="0"/>
      <w:marTop w:val="0"/>
      <w:marBottom w:val="0"/>
      <w:divBdr>
        <w:top w:val="none" w:sz="0" w:space="0" w:color="auto"/>
        <w:left w:val="none" w:sz="0" w:space="0" w:color="auto"/>
        <w:bottom w:val="none" w:sz="0" w:space="0" w:color="auto"/>
        <w:right w:val="none" w:sz="0" w:space="0" w:color="auto"/>
      </w:divBdr>
    </w:div>
    <w:div w:id="1431468638">
      <w:bodyDiv w:val="1"/>
      <w:marLeft w:val="0"/>
      <w:marRight w:val="0"/>
      <w:marTop w:val="0"/>
      <w:marBottom w:val="0"/>
      <w:divBdr>
        <w:top w:val="none" w:sz="0" w:space="0" w:color="auto"/>
        <w:left w:val="none" w:sz="0" w:space="0" w:color="auto"/>
        <w:bottom w:val="none" w:sz="0" w:space="0" w:color="auto"/>
        <w:right w:val="none" w:sz="0" w:space="0" w:color="auto"/>
      </w:divBdr>
    </w:div>
    <w:div w:id="1455253252">
      <w:bodyDiv w:val="1"/>
      <w:marLeft w:val="0"/>
      <w:marRight w:val="0"/>
      <w:marTop w:val="0"/>
      <w:marBottom w:val="0"/>
      <w:divBdr>
        <w:top w:val="none" w:sz="0" w:space="0" w:color="auto"/>
        <w:left w:val="none" w:sz="0" w:space="0" w:color="auto"/>
        <w:bottom w:val="none" w:sz="0" w:space="0" w:color="auto"/>
        <w:right w:val="none" w:sz="0" w:space="0" w:color="auto"/>
      </w:divBdr>
    </w:div>
    <w:div w:id="1460488948">
      <w:bodyDiv w:val="1"/>
      <w:marLeft w:val="0"/>
      <w:marRight w:val="0"/>
      <w:marTop w:val="0"/>
      <w:marBottom w:val="0"/>
      <w:divBdr>
        <w:top w:val="none" w:sz="0" w:space="0" w:color="auto"/>
        <w:left w:val="none" w:sz="0" w:space="0" w:color="auto"/>
        <w:bottom w:val="none" w:sz="0" w:space="0" w:color="auto"/>
        <w:right w:val="none" w:sz="0" w:space="0" w:color="auto"/>
      </w:divBdr>
    </w:div>
    <w:div w:id="1463499480">
      <w:bodyDiv w:val="1"/>
      <w:marLeft w:val="0"/>
      <w:marRight w:val="0"/>
      <w:marTop w:val="0"/>
      <w:marBottom w:val="0"/>
      <w:divBdr>
        <w:top w:val="none" w:sz="0" w:space="0" w:color="auto"/>
        <w:left w:val="none" w:sz="0" w:space="0" w:color="auto"/>
        <w:bottom w:val="none" w:sz="0" w:space="0" w:color="auto"/>
        <w:right w:val="none" w:sz="0" w:space="0" w:color="auto"/>
      </w:divBdr>
    </w:div>
    <w:div w:id="1472677002">
      <w:bodyDiv w:val="1"/>
      <w:marLeft w:val="0"/>
      <w:marRight w:val="0"/>
      <w:marTop w:val="0"/>
      <w:marBottom w:val="0"/>
      <w:divBdr>
        <w:top w:val="none" w:sz="0" w:space="0" w:color="auto"/>
        <w:left w:val="none" w:sz="0" w:space="0" w:color="auto"/>
        <w:bottom w:val="none" w:sz="0" w:space="0" w:color="auto"/>
        <w:right w:val="none" w:sz="0" w:space="0" w:color="auto"/>
      </w:divBdr>
    </w:div>
    <w:div w:id="1473642796">
      <w:bodyDiv w:val="1"/>
      <w:marLeft w:val="0"/>
      <w:marRight w:val="0"/>
      <w:marTop w:val="0"/>
      <w:marBottom w:val="0"/>
      <w:divBdr>
        <w:top w:val="none" w:sz="0" w:space="0" w:color="auto"/>
        <w:left w:val="none" w:sz="0" w:space="0" w:color="auto"/>
        <w:bottom w:val="none" w:sz="0" w:space="0" w:color="auto"/>
        <w:right w:val="none" w:sz="0" w:space="0" w:color="auto"/>
      </w:divBdr>
    </w:div>
    <w:div w:id="1476678878">
      <w:bodyDiv w:val="1"/>
      <w:marLeft w:val="0"/>
      <w:marRight w:val="0"/>
      <w:marTop w:val="0"/>
      <w:marBottom w:val="0"/>
      <w:divBdr>
        <w:top w:val="none" w:sz="0" w:space="0" w:color="auto"/>
        <w:left w:val="none" w:sz="0" w:space="0" w:color="auto"/>
        <w:bottom w:val="none" w:sz="0" w:space="0" w:color="auto"/>
        <w:right w:val="none" w:sz="0" w:space="0" w:color="auto"/>
      </w:divBdr>
    </w:div>
    <w:div w:id="1478303219">
      <w:bodyDiv w:val="1"/>
      <w:marLeft w:val="0"/>
      <w:marRight w:val="0"/>
      <w:marTop w:val="0"/>
      <w:marBottom w:val="0"/>
      <w:divBdr>
        <w:top w:val="none" w:sz="0" w:space="0" w:color="auto"/>
        <w:left w:val="none" w:sz="0" w:space="0" w:color="auto"/>
        <w:bottom w:val="none" w:sz="0" w:space="0" w:color="auto"/>
        <w:right w:val="none" w:sz="0" w:space="0" w:color="auto"/>
      </w:divBdr>
    </w:div>
    <w:div w:id="1482379989">
      <w:bodyDiv w:val="1"/>
      <w:marLeft w:val="0"/>
      <w:marRight w:val="0"/>
      <w:marTop w:val="0"/>
      <w:marBottom w:val="0"/>
      <w:divBdr>
        <w:top w:val="none" w:sz="0" w:space="0" w:color="auto"/>
        <w:left w:val="none" w:sz="0" w:space="0" w:color="auto"/>
        <w:bottom w:val="none" w:sz="0" w:space="0" w:color="auto"/>
        <w:right w:val="none" w:sz="0" w:space="0" w:color="auto"/>
      </w:divBdr>
    </w:div>
    <w:div w:id="1485048161">
      <w:bodyDiv w:val="1"/>
      <w:marLeft w:val="0"/>
      <w:marRight w:val="0"/>
      <w:marTop w:val="0"/>
      <w:marBottom w:val="0"/>
      <w:divBdr>
        <w:top w:val="none" w:sz="0" w:space="0" w:color="auto"/>
        <w:left w:val="none" w:sz="0" w:space="0" w:color="auto"/>
        <w:bottom w:val="none" w:sz="0" w:space="0" w:color="auto"/>
        <w:right w:val="none" w:sz="0" w:space="0" w:color="auto"/>
      </w:divBdr>
    </w:div>
    <w:div w:id="1500345814">
      <w:bodyDiv w:val="1"/>
      <w:marLeft w:val="0"/>
      <w:marRight w:val="0"/>
      <w:marTop w:val="0"/>
      <w:marBottom w:val="0"/>
      <w:divBdr>
        <w:top w:val="none" w:sz="0" w:space="0" w:color="auto"/>
        <w:left w:val="none" w:sz="0" w:space="0" w:color="auto"/>
        <w:bottom w:val="none" w:sz="0" w:space="0" w:color="auto"/>
        <w:right w:val="none" w:sz="0" w:space="0" w:color="auto"/>
      </w:divBdr>
    </w:div>
    <w:div w:id="1506243930">
      <w:bodyDiv w:val="1"/>
      <w:marLeft w:val="0"/>
      <w:marRight w:val="0"/>
      <w:marTop w:val="0"/>
      <w:marBottom w:val="0"/>
      <w:divBdr>
        <w:top w:val="none" w:sz="0" w:space="0" w:color="auto"/>
        <w:left w:val="none" w:sz="0" w:space="0" w:color="auto"/>
        <w:bottom w:val="none" w:sz="0" w:space="0" w:color="auto"/>
        <w:right w:val="none" w:sz="0" w:space="0" w:color="auto"/>
      </w:divBdr>
    </w:div>
    <w:div w:id="1507088908">
      <w:bodyDiv w:val="1"/>
      <w:marLeft w:val="0"/>
      <w:marRight w:val="0"/>
      <w:marTop w:val="0"/>
      <w:marBottom w:val="0"/>
      <w:divBdr>
        <w:top w:val="none" w:sz="0" w:space="0" w:color="auto"/>
        <w:left w:val="none" w:sz="0" w:space="0" w:color="auto"/>
        <w:bottom w:val="none" w:sz="0" w:space="0" w:color="auto"/>
        <w:right w:val="none" w:sz="0" w:space="0" w:color="auto"/>
      </w:divBdr>
    </w:div>
    <w:div w:id="1514416180">
      <w:bodyDiv w:val="1"/>
      <w:marLeft w:val="0"/>
      <w:marRight w:val="0"/>
      <w:marTop w:val="0"/>
      <w:marBottom w:val="0"/>
      <w:divBdr>
        <w:top w:val="none" w:sz="0" w:space="0" w:color="auto"/>
        <w:left w:val="none" w:sz="0" w:space="0" w:color="auto"/>
        <w:bottom w:val="none" w:sz="0" w:space="0" w:color="auto"/>
        <w:right w:val="none" w:sz="0" w:space="0" w:color="auto"/>
      </w:divBdr>
    </w:div>
    <w:div w:id="1516530006">
      <w:bodyDiv w:val="1"/>
      <w:marLeft w:val="0"/>
      <w:marRight w:val="0"/>
      <w:marTop w:val="0"/>
      <w:marBottom w:val="0"/>
      <w:divBdr>
        <w:top w:val="none" w:sz="0" w:space="0" w:color="auto"/>
        <w:left w:val="none" w:sz="0" w:space="0" w:color="auto"/>
        <w:bottom w:val="none" w:sz="0" w:space="0" w:color="auto"/>
        <w:right w:val="none" w:sz="0" w:space="0" w:color="auto"/>
      </w:divBdr>
    </w:div>
    <w:div w:id="1522207422">
      <w:bodyDiv w:val="1"/>
      <w:marLeft w:val="0"/>
      <w:marRight w:val="0"/>
      <w:marTop w:val="0"/>
      <w:marBottom w:val="0"/>
      <w:divBdr>
        <w:top w:val="none" w:sz="0" w:space="0" w:color="auto"/>
        <w:left w:val="none" w:sz="0" w:space="0" w:color="auto"/>
        <w:bottom w:val="none" w:sz="0" w:space="0" w:color="auto"/>
        <w:right w:val="none" w:sz="0" w:space="0" w:color="auto"/>
      </w:divBdr>
    </w:div>
    <w:div w:id="1523667931">
      <w:bodyDiv w:val="1"/>
      <w:marLeft w:val="0"/>
      <w:marRight w:val="0"/>
      <w:marTop w:val="0"/>
      <w:marBottom w:val="0"/>
      <w:divBdr>
        <w:top w:val="none" w:sz="0" w:space="0" w:color="auto"/>
        <w:left w:val="none" w:sz="0" w:space="0" w:color="auto"/>
        <w:bottom w:val="none" w:sz="0" w:space="0" w:color="auto"/>
        <w:right w:val="none" w:sz="0" w:space="0" w:color="auto"/>
      </w:divBdr>
    </w:div>
    <w:div w:id="1543713836">
      <w:bodyDiv w:val="1"/>
      <w:marLeft w:val="0"/>
      <w:marRight w:val="0"/>
      <w:marTop w:val="0"/>
      <w:marBottom w:val="0"/>
      <w:divBdr>
        <w:top w:val="none" w:sz="0" w:space="0" w:color="auto"/>
        <w:left w:val="none" w:sz="0" w:space="0" w:color="auto"/>
        <w:bottom w:val="none" w:sz="0" w:space="0" w:color="auto"/>
        <w:right w:val="none" w:sz="0" w:space="0" w:color="auto"/>
      </w:divBdr>
    </w:div>
    <w:div w:id="1549879952">
      <w:bodyDiv w:val="1"/>
      <w:marLeft w:val="0"/>
      <w:marRight w:val="0"/>
      <w:marTop w:val="0"/>
      <w:marBottom w:val="0"/>
      <w:divBdr>
        <w:top w:val="none" w:sz="0" w:space="0" w:color="auto"/>
        <w:left w:val="none" w:sz="0" w:space="0" w:color="auto"/>
        <w:bottom w:val="none" w:sz="0" w:space="0" w:color="auto"/>
        <w:right w:val="none" w:sz="0" w:space="0" w:color="auto"/>
      </w:divBdr>
    </w:div>
    <w:div w:id="1563440147">
      <w:bodyDiv w:val="1"/>
      <w:marLeft w:val="0"/>
      <w:marRight w:val="0"/>
      <w:marTop w:val="0"/>
      <w:marBottom w:val="0"/>
      <w:divBdr>
        <w:top w:val="none" w:sz="0" w:space="0" w:color="auto"/>
        <w:left w:val="none" w:sz="0" w:space="0" w:color="auto"/>
        <w:bottom w:val="none" w:sz="0" w:space="0" w:color="auto"/>
        <w:right w:val="none" w:sz="0" w:space="0" w:color="auto"/>
      </w:divBdr>
    </w:div>
    <w:div w:id="1574119072">
      <w:bodyDiv w:val="1"/>
      <w:marLeft w:val="0"/>
      <w:marRight w:val="0"/>
      <w:marTop w:val="0"/>
      <w:marBottom w:val="0"/>
      <w:divBdr>
        <w:top w:val="none" w:sz="0" w:space="0" w:color="auto"/>
        <w:left w:val="none" w:sz="0" w:space="0" w:color="auto"/>
        <w:bottom w:val="none" w:sz="0" w:space="0" w:color="auto"/>
        <w:right w:val="none" w:sz="0" w:space="0" w:color="auto"/>
      </w:divBdr>
    </w:div>
    <w:div w:id="1585408826">
      <w:bodyDiv w:val="1"/>
      <w:marLeft w:val="0"/>
      <w:marRight w:val="0"/>
      <w:marTop w:val="0"/>
      <w:marBottom w:val="0"/>
      <w:divBdr>
        <w:top w:val="none" w:sz="0" w:space="0" w:color="auto"/>
        <w:left w:val="none" w:sz="0" w:space="0" w:color="auto"/>
        <w:bottom w:val="none" w:sz="0" w:space="0" w:color="auto"/>
        <w:right w:val="none" w:sz="0" w:space="0" w:color="auto"/>
      </w:divBdr>
    </w:div>
    <w:div w:id="1593705336">
      <w:bodyDiv w:val="1"/>
      <w:marLeft w:val="0"/>
      <w:marRight w:val="0"/>
      <w:marTop w:val="0"/>
      <w:marBottom w:val="0"/>
      <w:divBdr>
        <w:top w:val="none" w:sz="0" w:space="0" w:color="auto"/>
        <w:left w:val="none" w:sz="0" w:space="0" w:color="auto"/>
        <w:bottom w:val="none" w:sz="0" w:space="0" w:color="auto"/>
        <w:right w:val="none" w:sz="0" w:space="0" w:color="auto"/>
      </w:divBdr>
    </w:div>
    <w:div w:id="1604151129">
      <w:bodyDiv w:val="1"/>
      <w:marLeft w:val="0"/>
      <w:marRight w:val="0"/>
      <w:marTop w:val="0"/>
      <w:marBottom w:val="0"/>
      <w:divBdr>
        <w:top w:val="none" w:sz="0" w:space="0" w:color="auto"/>
        <w:left w:val="none" w:sz="0" w:space="0" w:color="auto"/>
        <w:bottom w:val="none" w:sz="0" w:space="0" w:color="auto"/>
        <w:right w:val="none" w:sz="0" w:space="0" w:color="auto"/>
      </w:divBdr>
    </w:div>
    <w:div w:id="1607422209">
      <w:bodyDiv w:val="1"/>
      <w:marLeft w:val="0"/>
      <w:marRight w:val="0"/>
      <w:marTop w:val="0"/>
      <w:marBottom w:val="0"/>
      <w:divBdr>
        <w:top w:val="none" w:sz="0" w:space="0" w:color="auto"/>
        <w:left w:val="none" w:sz="0" w:space="0" w:color="auto"/>
        <w:bottom w:val="none" w:sz="0" w:space="0" w:color="auto"/>
        <w:right w:val="none" w:sz="0" w:space="0" w:color="auto"/>
      </w:divBdr>
    </w:div>
    <w:div w:id="1610236235">
      <w:bodyDiv w:val="1"/>
      <w:marLeft w:val="0"/>
      <w:marRight w:val="0"/>
      <w:marTop w:val="0"/>
      <w:marBottom w:val="0"/>
      <w:divBdr>
        <w:top w:val="none" w:sz="0" w:space="0" w:color="auto"/>
        <w:left w:val="none" w:sz="0" w:space="0" w:color="auto"/>
        <w:bottom w:val="none" w:sz="0" w:space="0" w:color="auto"/>
        <w:right w:val="none" w:sz="0" w:space="0" w:color="auto"/>
      </w:divBdr>
    </w:div>
    <w:div w:id="1628388385">
      <w:bodyDiv w:val="1"/>
      <w:marLeft w:val="0"/>
      <w:marRight w:val="0"/>
      <w:marTop w:val="0"/>
      <w:marBottom w:val="0"/>
      <w:divBdr>
        <w:top w:val="none" w:sz="0" w:space="0" w:color="auto"/>
        <w:left w:val="none" w:sz="0" w:space="0" w:color="auto"/>
        <w:bottom w:val="none" w:sz="0" w:space="0" w:color="auto"/>
        <w:right w:val="none" w:sz="0" w:space="0" w:color="auto"/>
      </w:divBdr>
    </w:div>
    <w:div w:id="1637104121">
      <w:bodyDiv w:val="1"/>
      <w:marLeft w:val="0"/>
      <w:marRight w:val="0"/>
      <w:marTop w:val="0"/>
      <w:marBottom w:val="0"/>
      <w:divBdr>
        <w:top w:val="none" w:sz="0" w:space="0" w:color="auto"/>
        <w:left w:val="none" w:sz="0" w:space="0" w:color="auto"/>
        <w:bottom w:val="none" w:sz="0" w:space="0" w:color="auto"/>
        <w:right w:val="none" w:sz="0" w:space="0" w:color="auto"/>
      </w:divBdr>
    </w:div>
    <w:div w:id="1641689205">
      <w:bodyDiv w:val="1"/>
      <w:marLeft w:val="0"/>
      <w:marRight w:val="0"/>
      <w:marTop w:val="0"/>
      <w:marBottom w:val="0"/>
      <w:divBdr>
        <w:top w:val="none" w:sz="0" w:space="0" w:color="auto"/>
        <w:left w:val="none" w:sz="0" w:space="0" w:color="auto"/>
        <w:bottom w:val="none" w:sz="0" w:space="0" w:color="auto"/>
        <w:right w:val="none" w:sz="0" w:space="0" w:color="auto"/>
      </w:divBdr>
    </w:div>
    <w:div w:id="1642733467">
      <w:bodyDiv w:val="1"/>
      <w:marLeft w:val="0"/>
      <w:marRight w:val="0"/>
      <w:marTop w:val="0"/>
      <w:marBottom w:val="0"/>
      <w:divBdr>
        <w:top w:val="none" w:sz="0" w:space="0" w:color="auto"/>
        <w:left w:val="none" w:sz="0" w:space="0" w:color="auto"/>
        <w:bottom w:val="none" w:sz="0" w:space="0" w:color="auto"/>
        <w:right w:val="none" w:sz="0" w:space="0" w:color="auto"/>
      </w:divBdr>
    </w:div>
    <w:div w:id="1647201924">
      <w:bodyDiv w:val="1"/>
      <w:marLeft w:val="0"/>
      <w:marRight w:val="0"/>
      <w:marTop w:val="0"/>
      <w:marBottom w:val="0"/>
      <w:divBdr>
        <w:top w:val="none" w:sz="0" w:space="0" w:color="auto"/>
        <w:left w:val="none" w:sz="0" w:space="0" w:color="auto"/>
        <w:bottom w:val="none" w:sz="0" w:space="0" w:color="auto"/>
        <w:right w:val="none" w:sz="0" w:space="0" w:color="auto"/>
      </w:divBdr>
    </w:div>
    <w:div w:id="1648894661">
      <w:bodyDiv w:val="1"/>
      <w:marLeft w:val="0"/>
      <w:marRight w:val="0"/>
      <w:marTop w:val="0"/>
      <w:marBottom w:val="0"/>
      <w:divBdr>
        <w:top w:val="none" w:sz="0" w:space="0" w:color="auto"/>
        <w:left w:val="none" w:sz="0" w:space="0" w:color="auto"/>
        <w:bottom w:val="none" w:sz="0" w:space="0" w:color="auto"/>
        <w:right w:val="none" w:sz="0" w:space="0" w:color="auto"/>
      </w:divBdr>
    </w:div>
    <w:div w:id="1659385777">
      <w:bodyDiv w:val="1"/>
      <w:marLeft w:val="0"/>
      <w:marRight w:val="0"/>
      <w:marTop w:val="0"/>
      <w:marBottom w:val="0"/>
      <w:divBdr>
        <w:top w:val="none" w:sz="0" w:space="0" w:color="auto"/>
        <w:left w:val="none" w:sz="0" w:space="0" w:color="auto"/>
        <w:bottom w:val="none" w:sz="0" w:space="0" w:color="auto"/>
        <w:right w:val="none" w:sz="0" w:space="0" w:color="auto"/>
      </w:divBdr>
    </w:div>
    <w:div w:id="1661813725">
      <w:bodyDiv w:val="1"/>
      <w:marLeft w:val="0"/>
      <w:marRight w:val="0"/>
      <w:marTop w:val="0"/>
      <w:marBottom w:val="0"/>
      <w:divBdr>
        <w:top w:val="none" w:sz="0" w:space="0" w:color="auto"/>
        <w:left w:val="none" w:sz="0" w:space="0" w:color="auto"/>
        <w:bottom w:val="none" w:sz="0" w:space="0" w:color="auto"/>
        <w:right w:val="none" w:sz="0" w:space="0" w:color="auto"/>
      </w:divBdr>
    </w:div>
    <w:div w:id="1668630589">
      <w:bodyDiv w:val="1"/>
      <w:marLeft w:val="0"/>
      <w:marRight w:val="0"/>
      <w:marTop w:val="0"/>
      <w:marBottom w:val="0"/>
      <w:divBdr>
        <w:top w:val="none" w:sz="0" w:space="0" w:color="auto"/>
        <w:left w:val="none" w:sz="0" w:space="0" w:color="auto"/>
        <w:bottom w:val="none" w:sz="0" w:space="0" w:color="auto"/>
        <w:right w:val="none" w:sz="0" w:space="0" w:color="auto"/>
      </w:divBdr>
    </w:div>
    <w:div w:id="1671446258">
      <w:bodyDiv w:val="1"/>
      <w:marLeft w:val="0"/>
      <w:marRight w:val="0"/>
      <w:marTop w:val="0"/>
      <w:marBottom w:val="0"/>
      <w:divBdr>
        <w:top w:val="none" w:sz="0" w:space="0" w:color="auto"/>
        <w:left w:val="none" w:sz="0" w:space="0" w:color="auto"/>
        <w:bottom w:val="none" w:sz="0" w:space="0" w:color="auto"/>
        <w:right w:val="none" w:sz="0" w:space="0" w:color="auto"/>
      </w:divBdr>
    </w:div>
    <w:div w:id="1674063896">
      <w:bodyDiv w:val="1"/>
      <w:marLeft w:val="0"/>
      <w:marRight w:val="0"/>
      <w:marTop w:val="0"/>
      <w:marBottom w:val="0"/>
      <w:divBdr>
        <w:top w:val="none" w:sz="0" w:space="0" w:color="auto"/>
        <w:left w:val="none" w:sz="0" w:space="0" w:color="auto"/>
        <w:bottom w:val="none" w:sz="0" w:space="0" w:color="auto"/>
        <w:right w:val="none" w:sz="0" w:space="0" w:color="auto"/>
      </w:divBdr>
    </w:div>
    <w:div w:id="1676809985">
      <w:bodyDiv w:val="1"/>
      <w:marLeft w:val="0"/>
      <w:marRight w:val="0"/>
      <w:marTop w:val="0"/>
      <w:marBottom w:val="0"/>
      <w:divBdr>
        <w:top w:val="none" w:sz="0" w:space="0" w:color="auto"/>
        <w:left w:val="none" w:sz="0" w:space="0" w:color="auto"/>
        <w:bottom w:val="none" w:sz="0" w:space="0" w:color="auto"/>
        <w:right w:val="none" w:sz="0" w:space="0" w:color="auto"/>
      </w:divBdr>
    </w:div>
    <w:div w:id="1685672756">
      <w:bodyDiv w:val="1"/>
      <w:marLeft w:val="0"/>
      <w:marRight w:val="0"/>
      <w:marTop w:val="0"/>
      <w:marBottom w:val="0"/>
      <w:divBdr>
        <w:top w:val="none" w:sz="0" w:space="0" w:color="auto"/>
        <w:left w:val="none" w:sz="0" w:space="0" w:color="auto"/>
        <w:bottom w:val="none" w:sz="0" w:space="0" w:color="auto"/>
        <w:right w:val="none" w:sz="0" w:space="0" w:color="auto"/>
      </w:divBdr>
    </w:div>
    <w:div w:id="1689064494">
      <w:bodyDiv w:val="1"/>
      <w:marLeft w:val="0"/>
      <w:marRight w:val="0"/>
      <w:marTop w:val="0"/>
      <w:marBottom w:val="0"/>
      <w:divBdr>
        <w:top w:val="none" w:sz="0" w:space="0" w:color="auto"/>
        <w:left w:val="none" w:sz="0" w:space="0" w:color="auto"/>
        <w:bottom w:val="none" w:sz="0" w:space="0" w:color="auto"/>
        <w:right w:val="none" w:sz="0" w:space="0" w:color="auto"/>
      </w:divBdr>
    </w:div>
    <w:div w:id="1704212934">
      <w:bodyDiv w:val="1"/>
      <w:marLeft w:val="0"/>
      <w:marRight w:val="0"/>
      <w:marTop w:val="0"/>
      <w:marBottom w:val="0"/>
      <w:divBdr>
        <w:top w:val="none" w:sz="0" w:space="0" w:color="auto"/>
        <w:left w:val="none" w:sz="0" w:space="0" w:color="auto"/>
        <w:bottom w:val="none" w:sz="0" w:space="0" w:color="auto"/>
        <w:right w:val="none" w:sz="0" w:space="0" w:color="auto"/>
      </w:divBdr>
    </w:div>
    <w:div w:id="1711152299">
      <w:bodyDiv w:val="1"/>
      <w:marLeft w:val="0"/>
      <w:marRight w:val="0"/>
      <w:marTop w:val="0"/>
      <w:marBottom w:val="0"/>
      <w:divBdr>
        <w:top w:val="none" w:sz="0" w:space="0" w:color="auto"/>
        <w:left w:val="none" w:sz="0" w:space="0" w:color="auto"/>
        <w:bottom w:val="none" w:sz="0" w:space="0" w:color="auto"/>
        <w:right w:val="none" w:sz="0" w:space="0" w:color="auto"/>
      </w:divBdr>
    </w:div>
    <w:div w:id="1716195058">
      <w:bodyDiv w:val="1"/>
      <w:marLeft w:val="0"/>
      <w:marRight w:val="0"/>
      <w:marTop w:val="0"/>
      <w:marBottom w:val="0"/>
      <w:divBdr>
        <w:top w:val="none" w:sz="0" w:space="0" w:color="auto"/>
        <w:left w:val="none" w:sz="0" w:space="0" w:color="auto"/>
        <w:bottom w:val="none" w:sz="0" w:space="0" w:color="auto"/>
        <w:right w:val="none" w:sz="0" w:space="0" w:color="auto"/>
      </w:divBdr>
    </w:div>
    <w:div w:id="1718119084">
      <w:bodyDiv w:val="1"/>
      <w:marLeft w:val="0"/>
      <w:marRight w:val="0"/>
      <w:marTop w:val="0"/>
      <w:marBottom w:val="0"/>
      <w:divBdr>
        <w:top w:val="none" w:sz="0" w:space="0" w:color="auto"/>
        <w:left w:val="none" w:sz="0" w:space="0" w:color="auto"/>
        <w:bottom w:val="none" w:sz="0" w:space="0" w:color="auto"/>
        <w:right w:val="none" w:sz="0" w:space="0" w:color="auto"/>
      </w:divBdr>
    </w:div>
    <w:div w:id="1726446830">
      <w:bodyDiv w:val="1"/>
      <w:marLeft w:val="0"/>
      <w:marRight w:val="0"/>
      <w:marTop w:val="0"/>
      <w:marBottom w:val="0"/>
      <w:divBdr>
        <w:top w:val="none" w:sz="0" w:space="0" w:color="auto"/>
        <w:left w:val="none" w:sz="0" w:space="0" w:color="auto"/>
        <w:bottom w:val="none" w:sz="0" w:space="0" w:color="auto"/>
        <w:right w:val="none" w:sz="0" w:space="0" w:color="auto"/>
      </w:divBdr>
    </w:div>
    <w:div w:id="1741826969">
      <w:bodyDiv w:val="1"/>
      <w:marLeft w:val="0"/>
      <w:marRight w:val="0"/>
      <w:marTop w:val="0"/>
      <w:marBottom w:val="0"/>
      <w:divBdr>
        <w:top w:val="none" w:sz="0" w:space="0" w:color="auto"/>
        <w:left w:val="none" w:sz="0" w:space="0" w:color="auto"/>
        <w:bottom w:val="none" w:sz="0" w:space="0" w:color="auto"/>
        <w:right w:val="none" w:sz="0" w:space="0" w:color="auto"/>
      </w:divBdr>
    </w:div>
    <w:div w:id="1744136217">
      <w:bodyDiv w:val="1"/>
      <w:marLeft w:val="0"/>
      <w:marRight w:val="0"/>
      <w:marTop w:val="0"/>
      <w:marBottom w:val="0"/>
      <w:divBdr>
        <w:top w:val="none" w:sz="0" w:space="0" w:color="auto"/>
        <w:left w:val="none" w:sz="0" w:space="0" w:color="auto"/>
        <w:bottom w:val="none" w:sz="0" w:space="0" w:color="auto"/>
        <w:right w:val="none" w:sz="0" w:space="0" w:color="auto"/>
      </w:divBdr>
    </w:div>
    <w:div w:id="1748069195">
      <w:bodyDiv w:val="1"/>
      <w:marLeft w:val="0"/>
      <w:marRight w:val="0"/>
      <w:marTop w:val="0"/>
      <w:marBottom w:val="0"/>
      <w:divBdr>
        <w:top w:val="none" w:sz="0" w:space="0" w:color="auto"/>
        <w:left w:val="none" w:sz="0" w:space="0" w:color="auto"/>
        <w:bottom w:val="none" w:sz="0" w:space="0" w:color="auto"/>
        <w:right w:val="none" w:sz="0" w:space="0" w:color="auto"/>
      </w:divBdr>
    </w:div>
    <w:div w:id="1753694969">
      <w:bodyDiv w:val="1"/>
      <w:marLeft w:val="0"/>
      <w:marRight w:val="0"/>
      <w:marTop w:val="0"/>
      <w:marBottom w:val="0"/>
      <w:divBdr>
        <w:top w:val="none" w:sz="0" w:space="0" w:color="auto"/>
        <w:left w:val="none" w:sz="0" w:space="0" w:color="auto"/>
        <w:bottom w:val="none" w:sz="0" w:space="0" w:color="auto"/>
        <w:right w:val="none" w:sz="0" w:space="0" w:color="auto"/>
      </w:divBdr>
    </w:div>
    <w:div w:id="1769231011">
      <w:bodyDiv w:val="1"/>
      <w:marLeft w:val="0"/>
      <w:marRight w:val="0"/>
      <w:marTop w:val="0"/>
      <w:marBottom w:val="0"/>
      <w:divBdr>
        <w:top w:val="none" w:sz="0" w:space="0" w:color="auto"/>
        <w:left w:val="none" w:sz="0" w:space="0" w:color="auto"/>
        <w:bottom w:val="none" w:sz="0" w:space="0" w:color="auto"/>
        <w:right w:val="none" w:sz="0" w:space="0" w:color="auto"/>
      </w:divBdr>
    </w:div>
    <w:div w:id="1769739736">
      <w:bodyDiv w:val="1"/>
      <w:marLeft w:val="0"/>
      <w:marRight w:val="0"/>
      <w:marTop w:val="0"/>
      <w:marBottom w:val="0"/>
      <w:divBdr>
        <w:top w:val="none" w:sz="0" w:space="0" w:color="auto"/>
        <w:left w:val="none" w:sz="0" w:space="0" w:color="auto"/>
        <w:bottom w:val="none" w:sz="0" w:space="0" w:color="auto"/>
        <w:right w:val="none" w:sz="0" w:space="0" w:color="auto"/>
      </w:divBdr>
    </w:div>
    <w:div w:id="1782217632">
      <w:bodyDiv w:val="1"/>
      <w:marLeft w:val="0"/>
      <w:marRight w:val="0"/>
      <w:marTop w:val="0"/>
      <w:marBottom w:val="0"/>
      <w:divBdr>
        <w:top w:val="none" w:sz="0" w:space="0" w:color="auto"/>
        <w:left w:val="none" w:sz="0" w:space="0" w:color="auto"/>
        <w:bottom w:val="none" w:sz="0" w:space="0" w:color="auto"/>
        <w:right w:val="none" w:sz="0" w:space="0" w:color="auto"/>
      </w:divBdr>
    </w:div>
    <w:div w:id="1783498835">
      <w:bodyDiv w:val="1"/>
      <w:marLeft w:val="0"/>
      <w:marRight w:val="0"/>
      <w:marTop w:val="0"/>
      <w:marBottom w:val="0"/>
      <w:divBdr>
        <w:top w:val="none" w:sz="0" w:space="0" w:color="auto"/>
        <w:left w:val="none" w:sz="0" w:space="0" w:color="auto"/>
        <w:bottom w:val="none" w:sz="0" w:space="0" w:color="auto"/>
        <w:right w:val="none" w:sz="0" w:space="0" w:color="auto"/>
      </w:divBdr>
    </w:div>
    <w:div w:id="1799910618">
      <w:bodyDiv w:val="1"/>
      <w:marLeft w:val="0"/>
      <w:marRight w:val="0"/>
      <w:marTop w:val="0"/>
      <w:marBottom w:val="0"/>
      <w:divBdr>
        <w:top w:val="none" w:sz="0" w:space="0" w:color="auto"/>
        <w:left w:val="none" w:sz="0" w:space="0" w:color="auto"/>
        <w:bottom w:val="none" w:sz="0" w:space="0" w:color="auto"/>
        <w:right w:val="none" w:sz="0" w:space="0" w:color="auto"/>
      </w:divBdr>
    </w:div>
    <w:div w:id="1804081206">
      <w:bodyDiv w:val="1"/>
      <w:marLeft w:val="0"/>
      <w:marRight w:val="0"/>
      <w:marTop w:val="0"/>
      <w:marBottom w:val="0"/>
      <w:divBdr>
        <w:top w:val="none" w:sz="0" w:space="0" w:color="auto"/>
        <w:left w:val="none" w:sz="0" w:space="0" w:color="auto"/>
        <w:bottom w:val="none" w:sz="0" w:space="0" w:color="auto"/>
        <w:right w:val="none" w:sz="0" w:space="0" w:color="auto"/>
      </w:divBdr>
    </w:div>
    <w:div w:id="1813597134">
      <w:bodyDiv w:val="1"/>
      <w:marLeft w:val="0"/>
      <w:marRight w:val="0"/>
      <w:marTop w:val="0"/>
      <w:marBottom w:val="0"/>
      <w:divBdr>
        <w:top w:val="none" w:sz="0" w:space="0" w:color="auto"/>
        <w:left w:val="none" w:sz="0" w:space="0" w:color="auto"/>
        <w:bottom w:val="none" w:sz="0" w:space="0" w:color="auto"/>
        <w:right w:val="none" w:sz="0" w:space="0" w:color="auto"/>
      </w:divBdr>
    </w:div>
    <w:div w:id="1814060914">
      <w:bodyDiv w:val="1"/>
      <w:marLeft w:val="0"/>
      <w:marRight w:val="0"/>
      <w:marTop w:val="0"/>
      <w:marBottom w:val="0"/>
      <w:divBdr>
        <w:top w:val="none" w:sz="0" w:space="0" w:color="auto"/>
        <w:left w:val="none" w:sz="0" w:space="0" w:color="auto"/>
        <w:bottom w:val="none" w:sz="0" w:space="0" w:color="auto"/>
        <w:right w:val="none" w:sz="0" w:space="0" w:color="auto"/>
      </w:divBdr>
    </w:div>
    <w:div w:id="1822312726">
      <w:bodyDiv w:val="1"/>
      <w:marLeft w:val="0"/>
      <w:marRight w:val="0"/>
      <w:marTop w:val="0"/>
      <w:marBottom w:val="0"/>
      <w:divBdr>
        <w:top w:val="none" w:sz="0" w:space="0" w:color="auto"/>
        <w:left w:val="none" w:sz="0" w:space="0" w:color="auto"/>
        <w:bottom w:val="none" w:sz="0" w:space="0" w:color="auto"/>
        <w:right w:val="none" w:sz="0" w:space="0" w:color="auto"/>
      </w:divBdr>
    </w:div>
    <w:div w:id="1824928989">
      <w:bodyDiv w:val="1"/>
      <w:marLeft w:val="0"/>
      <w:marRight w:val="0"/>
      <w:marTop w:val="0"/>
      <w:marBottom w:val="0"/>
      <w:divBdr>
        <w:top w:val="none" w:sz="0" w:space="0" w:color="auto"/>
        <w:left w:val="none" w:sz="0" w:space="0" w:color="auto"/>
        <w:bottom w:val="none" w:sz="0" w:space="0" w:color="auto"/>
        <w:right w:val="none" w:sz="0" w:space="0" w:color="auto"/>
      </w:divBdr>
    </w:div>
    <w:div w:id="1831602497">
      <w:bodyDiv w:val="1"/>
      <w:marLeft w:val="0"/>
      <w:marRight w:val="0"/>
      <w:marTop w:val="0"/>
      <w:marBottom w:val="0"/>
      <w:divBdr>
        <w:top w:val="none" w:sz="0" w:space="0" w:color="auto"/>
        <w:left w:val="none" w:sz="0" w:space="0" w:color="auto"/>
        <w:bottom w:val="none" w:sz="0" w:space="0" w:color="auto"/>
        <w:right w:val="none" w:sz="0" w:space="0" w:color="auto"/>
      </w:divBdr>
    </w:div>
    <w:div w:id="1835148662">
      <w:bodyDiv w:val="1"/>
      <w:marLeft w:val="0"/>
      <w:marRight w:val="0"/>
      <w:marTop w:val="0"/>
      <w:marBottom w:val="0"/>
      <w:divBdr>
        <w:top w:val="none" w:sz="0" w:space="0" w:color="auto"/>
        <w:left w:val="none" w:sz="0" w:space="0" w:color="auto"/>
        <w:bottom w:val="none" w:sz="0" w:space="0" w:color="auto"/>
        <w:right w:val="none" w:sz="0" w:space="0" w:color="auto"/>
      </w:divBdr>
    </w:div>
    <w:div w:id="1842424391">
      <w:bodyDiv w:val="1"/>
      <w:marLeft w:val="0"/>
      <w:marRight w:val="0"/>
      <w:marTop w:val="0"/>
      <w:marBottom w:val="0"/>
      <w:divBdr>
        <w:top w:val="none" w:sz="0" w:space="0" w:color="auto"/>
        <w:left w:val="none" w:sz="0" w:space="0" w:color="auto"/>
        <w:bottom w:val="none" w:sz="0" w:space="0" w:color="auto"/>
        <w:right w:val="none" w:sz="0" w:space="0" w:color="auto"/>
      </w:divBdr>
    </w:div>
    <w:div w:id="1855420650">
      <w:bodyDiv w:val="1"/>
      <w:marLeft w:val="0"/>
      <w:marRight w:val="0"/>
      <w:marTop w:val="0"/>
      <w:marBottom w:val="0"/>
      <w:divBdr>
        <w:top w:val="none" w:sz="0" w:space="0" w:color="auto"/>
        <w:left w:val="none" w:sz="0" w:space="0" w:color="auto"/>
        <w:bottom w:val="none" w:sz="0" w:space="0" w:color="auto"/>
        <w:right w:val="none" w:sz="0" w:space="0" w:color="auto"/>
      </w:divBdr>
    </w:div>
    <w:div w:id="1862820599">
      <w:bodyDiv w:val="1"/>
      <w:marLeft w:val="0"/>
      <w:marRight w:val="0"/>
      <w:marTop w:val="0"/>
      <w:marBottom w:val="0"/>
      <w:divBdr>
        <w:top w:val="none" w:sz="0" w:space="0" w:color="auto"/>
        <w:left w:val="none" w:sz="0" w:space="0" w:color="auto"/>
        <w:bottom w:val="none" w:sz="0" w:space="0" w:color="auto"/>
        <w:right w:val="none" w:sz="0" w:space="0" w:color="auto"/>
      </w:divBdr>
    </w:div>
    <w:div w:id="1870292350">
      <w:bodyDiv w:val="1"/>
      <w:marLeft w:val="0"/>
      <w:marRight w:val="0"/>
      <w:marTop w:val="0"/>
      <w:marBottom w:val="0"/>
      <w:divBdr>
        <w:top w:val="none" w:sz="0" w:space="0" w:color="auto"/>
        <w:left w:val="none" w:sz="0" w:space="0" w:color="auto"/>
        <w:bottom w:val="none" w:sz="0" w:space="0" w:color="auto"/>
        <w:right w:val="none" w:sz="0" w:space="0" w:color="auto"/>
      </w:divBdr>
    </w:div>
    <w:div w:id="1870877491">
      <w:bodyDiv w:val="1"/>
      <w:marLeft w:val="0"/>
      <w:marRight w:val="0"/>
      <w:marTop w:val="0"/>
      <w:marBottom w:val="0"/>
      <w:divBdr>
        <w:top w:val="none" w:sz="0" w:space="0" w:color="auto"/>
        <w:left w:val="none" w:sz="0" w:space="0" w:color="auto"/>
        <w:bottom w:val="none" w:sz="0" w:space="0" w:color="auto"/>
        <w:right w:val="none" w:sz="0" w:space="0" w:color="auto"/>
      </w:divBdr>
    </w:div>
    <w:div w:id="1877308086">
      <w:bodyDiv w:val="1"/>
      <w:marLeft w:val="0"/>
      <w:marRight w:val="0"/>
      <w:marTop w:val="0"/>
      <w:marBottom w:val="0"/>
      <w:divBdr>
        <w:top w:val="none" w:sz="0" w:space="0" w:color="auto"/>
        <w:left w:val="none" w:sz="0" w:space="0" w:color="auto"/>
        <w:bottom w:val="none" w:sz="0" w:space="0" w:color="auto"/>
        <w:right w:val="none" w:sz="0" w:space="0" w:color="auto"/>
      </w:divBdr>
    </w:div>
    <w:div w:id="1879539654">
      <w:bodyDiv w:val="1"/>
      <w:marLeft w:val="0"/>
      <w:marRight w:val="0"/>
      <w:marTop w:val="0"/>
      <w:marBottom w:val="0"/>
      <w:divBdr>
        <w:top w:val="none" w:sz="0" w:space="0" w:color="auto"/>
        <w:left w:val="none" w:sz="0" w:space="0" w:color="auto"/>
        <w:bottom w:val="none" w:sz="0" w:space="0" w:color="auto"/>
        <w:right w:val="none" w:sz="0" w:space="0" w:color="auto"/>
      </w:divBdr>
    </w:div>
    <w:div w:id="1880124456">
      <w:bodyDiv w:val="1"/>
      <w:marLeft w:val="0"/>
      <w:marRight w:val="0"/>
      <w:marTop w:val="0"/>
      <w:marBottom w:val="0"/>
      <w:divBdr>
        <w:top w:val="none" w:sz="0" w:space="0" w:color="auto"/>
        <w:left w:val="none" w:sz="0" w:space="0" w:color="auto"/>
        <w:bottom w:val="none" w:sz="0" w:space="0" w:color="auto"/>
        <w:right w:val="none" w:sz="0" w:space="0" w:color="auto"/>
      </w:divBdr>
    </w:div>
    <w:div w:id="1884175273">
      <w:bodyDiv w:val="1"/>
      <w:marLeft w:val="0"/>
      <w:marRight w:val="0"/>
      <w:marTop w:val="0"/>
      <w:marBottom w:val="0"/>
      <w:divBdr>
        <w:top w:val="none" w:sz="0" w:space="0" w:color="auto"/>
        <w:left w:val="none" w:sz="0" w:space="0" w:color="auto"/>
        <w:bottom w:val="none" w:sz="0" w:space="0" w:color="auto"/>
        <w:right w:val="none" w:sz="0" w:space="0" w:color="auto"/>
      </w:divBdr>
    </w:div>
    <w:div w:id="1890071217">
      <w:bodyDiv w:val="1"/>
      <w:marLeft w:val="0"/>
      <w:marRight w:val="0"/>
      <w:marTop w:val="0"/>
      <w:marBottom w:val="0"/>
      <w:divBdr>
        <w:top w:val="none" w:sz="0" w:space="0" w:color="auto"/>
        <w:left w:val="none" w:sz="0" w:space="0" w:color="auto"/>
        <w:bottom w:val="none" w:sz="0" w:space="0" w:color="auto"/>
        <w:right w:val="none" w:sz="0" w:space="0" w:color="auto"/>
      </w:divBdr>
    </w:div>
    <w:div w:id="1900165704">
      <w:bodyDiv w:val="1"/>
      <w:marLeft w:val="0"/>
      <w:marRight w:val="0"/>
      <w:marTop w:val="0"/>
      <w:marBottom w:val="0"/>
      <w:divBdr>
        <w:top w:val="none" w:sz="0" w:space="0" w:color="auto"/>
        <w:left w:val="none" w:sz="0" w:space="0" w:color="auto"/>
        <w:bottom w:val="none" w:sz="0" w:space="0" w:color="auto"/>
        <w:right w:val="none" w:sz="0" w:space="0" w:color="auto"/>
      </w:divBdr>
    </w:div>
    <w:div w:id="1924609208">
      <w:bodyDiv w:val="1"/>
      <w:marLeft w:val="0"/>
      <w:marRight w:val="0"/>
      <w:marTop w:val="0"/>
      <w:marBottom w:val="0"/>
      <w:divBdr>
        <w:top w:val="none" w:sz="0" w:space="0" w:color="auto"/>
        <w:left w:val="none" w:sz="0" w:space="0" w:color="auto"/>
        <w:bottom w:val="none" w:sz="0" w:space="0" w:color="auto"/>
        <w:right w:val="none" w:sz="0" w:space="0" w:color="auto"/>
      </w:divBdr>
    </w:div>
    <w:div w:id="1944268215">
      <w:bodyDiv w:val="1"/>
      <w:marLeft w:val="0"/>
      <w:marRight w:val="0"/>
      <w:marTop w:val="0"/>
      <w:marBottom w:val="0"/>
      <w:divBdr>
        <w:top w:val="none" w:sz="0" w:space="0" w:color="auto"/>
        <w:left w:val="none" w:sz="0" w:space="0" w:color="auto"/>
        <w:bottom w:val="none" w:sz="0" w:space="0" w:color="auto"/>
        <w:right w:val="none" w:sz="0" w:space="0" w:color="auto"/>
      </w:divBdr>
    </w:div>
    <w:div w:id="1952131626">
      <w:bodyDiv w:val="1"/>
      <w:marLeft w:val="0"/>
      <w:marRight w:val="0"/>
      <w:marTop w:val="0"/>
      <w:marBottom w:val="0"/>
      <w:divBdr>
        <w:top w:val="none" w:sz="0" w:space="0" w:color="auto"/>
        <w:left w:val="none" w:sz="0" w:space="0" w:color="auto"/>
        <w:bottom w:val="none" w:sz="0" w:space="0" w:color="auto"/>
        <w:right w:val="none" w:sz="0" w:space="0" w:color="auto"/>
      </w:divBdr>
    </w:div>
    <w:div w:id="1956055255">
      <w:bodyDiv w:val="1"/>
      <w:marLeft w:val="0"/>
      <w:marRight w:val="0"/>
      <w:marTop w:val="0"/>
      <w:marBottom w:val="0"/>
      <w:divBdr>
        <w:top w:val="none" w:sz="0" w:space="0" w:color="auto"/>
        <w:left w:val="none" w:sz="0" w:space="0" w:color="auto"/>
        <w:bottom w:val="none" w:sz="0" w:space="0" w:color="auto"/>
        <w:right w:val="none" w:sz="0" w:space="0" w:color="auto"/>
      </w:divBdr>
    </w:div>
    <w:div w:id="1956523647">
      <w:bodyDiv w:val="1"/>
      <w:marLeft w:val="0"/>
      <w:marRight w:val="0"/>
      <w:marTop w:val="0"/>
      <w:marBottom w:val="0"/>
      <w:divBdr>
        <w:top w:val="none" w:sz="0" w:space="0" w:color="auto"/>
        <w:left w:val="none" w:sz="0" w:space="0" w:color="auto"/>
        <w:bottom w:val="none" w:sz="0" w:space="0" w:color="auto"/>
        <w:right w:val="none" w:sz="0" w:space="0" w:color="auto"/>
      </w:divBdr>
    </w:div>
    <w:div w:id="1957367618">
      <w:bodyDiv w:val="1"/>
      <w:marLeft w:val="0"/>
      <w:marRight w:val="0"/>
      <w:marTop w:val="0"/>
      <w:marBottom w:val="0"/>
      <w:divBdr>
        <w:top w:val="none" w:sz="0" w:space="0" w:color="auto"/>
        <w:left w:val="none" w:sz="0" w:space="0" w:color="auto"/>
        <w:bottom w:val="none" w:sz="0" w:space="0" w:color="auto"/>
        <w:right w:val="none" w:sz="0" w:space="0" w:color="auto"/>
      </w:divBdr>
    </w:div>
    <w:div w:id="1957907475">
      <w:bodyDiv w:val="1"/>
      <w:marLeft w:val="0"/>
      <w:marRight w:val="0"/>
      <w:marTop w:val="0"/>
      <w:marBottom w:val="0"/>
      <w:divBdr>
        <w:top w:val="none" w:sz="0" w:space="0" w:color="auto"/>
        <w:left w:val="none" w:sz="0" w:space="0" w:color="auto"/>
        <w:bottom w:val="none" w:sz="0" w:space="0" w:color="auto"/>
        <w:right w:val="none" w:sz="0" w:space="0" w:color="auto"/>
      </w:divBdr>
    </w:div>
    <w:div w:id="1962615341">
      <w:bodyDiv w:val="1"/>
      <w:marLeft w:val="0"/>
      <w:marRight w:val="0"/>
      <w:marTop w:val="0"/>
      <w:marBottom w:val="0"/>
      <w:divBdr>
        <w:top w:val="none" w:sz="0" w:space="0" w:color="auto"/>
        <w:left w:val="none" w:sz="0" w:space="0" w:color="auto"/>
        <w:bottom w:val="none" w:sz="0" w:space="0" w:color="auto"/>
        <w:right w:val="none" w:sz="0" w:space="0" w:color="auto"/>
      </w:divBdr>
    </w:div>
    <w:div w:id="1982806038">
      <w:bodyDiv w:val="1"/>
      <w:marLeft w:val="0"/>
      <w:marRight w:val="0"/>
      <w:marTop w:val="0"/>
      <w:marBottom w:val="0"/>
      <w:divBdr>
        <w:top w:val="none" w:sz="0" w:space="0" w:color="auto"/>
        <w:left w:val="none" w:sz="0" w:space="0" w:color="auto"/>
        <w:bottom w:val="none" w:sz="0" w:space="0" w:color="auto"/>
        <w:right w:val="none" w:sz="0" w:space="0" w:color="auto"/>
      </w:divBdr>
    </w:div>
    <w:div w:id="1991326595">
      <w:bodyDiv w:val="1"/>
      <w:marLeft w:val="0"/>
      <w:marRight w:val="0"/>
      <w:marTop w:val="0"/>
      <w:marBottom w:val="0"/>
      <w:divBdr>
        <w:top w:val="none" w:sz="0" w:space="0" w:color="auto"/>
        <w:left w:val="none" w:sz="0" w:space="0" w:color="auto"/>
        <w:bottom w:val="none" w:sz="0" w:space="0" w:color="auto"/>
        <w:right w:val="none" w:sz="0" w:space="0" w:color="auto"/>
      </w:divBdr>
    </w:div>
    <w:div w:id="2002077518">
      <w:bodyDiv w:val="1"/>
      <w:marLeft w:val="0"/>
      <w:marRight w:val="0"/>
      <w:marTop w:val="0"/>
      <w:marBottom w:val="0"/>
      <w:divBdr>
        <w:top w:val="none" w:sz="0" w:space="0" w:color="auto"/>
        <w:left w:val="none" w:sz="0" w:space="0" w:color="auto"/>
        <w:bottom w:val="none" w:sz="0" w:space="0" w:color="auto"/>
        <w:right w:val="none" w:sz="0" w:space="0" w:color="auto"/>
      </w:divBdr>
    </w:div>
    <w:div w:id="2020888563">
      <w:bodyDiv w:val="1"/>
      <w:marLeft w:val="0"/>
      <w:marRight w:val="0"/>
      <w:marTop w:val="0"/>
      <w:marBottom w:val="0"/>
      <w:divBdr>
        <w:top w:val="none" w:sz="0" w:space="0" w:color="auto"/>
        <w:left w:val="none" w:sz="0" w:space="0" w:color="auto"/>
        <w:bottom w:val="none" w:sz="0" w:space="0" w:color="auto"/>
        <w:right w:val="none" w:sz="0" w:space="0" w:color="auto"/>
      </w:divBdr>
    </w:div>
    <w:div w:id="2024697432">
      <w:bodyDiv w:val="1"/>
      <w:marLeft w:val="0"/>
      <w:marRight w:val="0"/>
      <w:marTop w:val="0"/>
      <w:marBottom w:val="0"/>
      <w:divBdr>
        <w:top w:val="none" w:sz="0" w:space="0" w:color="auto"/>
        <w:left w:val="none" w:sz="0" w:space="0" w:color="auto"/>
        <w:bottom w:val="none" w:sz="0" w:space="0" w:color="auto"/>
        <w:right w:val="none" w:sz="0" w:space="0" w:color="auto"/>
      </w:divBdr>
    </w:div>
    <w:div w:id="2027365387">
      <w:bodyDiv w:val="1"/>
      <w:marLeft w:val="0"/>
      <w:marRight w:val="0"/>
      <w:marTop w:val="0"/>
      <w:marBottom w:val="0"/>
      <w:divBdr>
        <w:top w:val="none" w:sz="0" w:space="0" w:color="auto"/>
        <w:left w:val="none" w:sz="0" w:space="0" w:color="auto"/>
        <w:bottom w:val="none" w:sz="0" w:space="0" w:color="auto"/>
        <w:right w:val="none" w:sz="0" w:space="0" w:color="auto"/>
      </w:divBdr>
    </w:div>
    <w:div w:id="2028365132">
      <w:bodyDiv w:val="1"/>
      <w:marLeft w:val="0"/>
      <w:marRight w:val="0"/>
      <w:marTop w:val="0"/>
      <w:marBottom w:val="0"/>
      <w:divBdr>
        <w:top w:val="none" w:sz="0" w:space="0" w:color="auto"/>
        <w:left w:val="none" w:sz="0" w:space="0" w:color="auto"/>
        <w:bottom w:val="none" w:sz="0" w:space="0" w:color="auto"/>
        <w:right w:val="none" w:sz="0" w:space="0" w:color="auto"/>
      </w:divBdr>
    </w:div>
    <w:div w:id="2035573680">
      <w:bodyDiv w:val="1"/>
      <w:marLeft w:val="0"/>
      <w:marRight w:val="0"/>
      <w:marTop w:val="0"/>
      <w:marBottom w:val="0"/>
      <w:divBdr>
        <w:top w:val="none" w:sz="0" w:space="0" w:color="auto"/>
        <w:left w:val="none" w:sz="0" w:space="0" w:color="auto"/>
        <w:bottom w:val="none" w:sz="0" w:space="0" w:color="auto"/>
        <w:right w:val="none" w:sz="0" w:space="0" w:color="auto"/>
      </w:divBdr>
    </w:div>
    <w:div w:id="2049258824">
      <w:bodyDiv w:val="1"/>
      <w:marLeft w:val="0"/>
      <w:marRight w:val="0"/>
      <w:marTop w:val="0"/>
      <w:marBottom w:val="0"/>
      <w:divBdr>
        <w:top w:val="none" w:sz="0" w:space="0" w:color="auto"/>
        <w:left w:val="none" w:sz="0" w:space="0" w:color="auto"/>
        <w:bottom w:val="none" w:sz="0" w:space="0" w:color="auto"/>
        <w:right w:val="none" w:sz="0" w:space="0" w:color="auto"/>
      </w:divBdr>
    </w:div>
    <w:div w:id="2052463415">
      <w:bodyDiv w:val="1"/>
      <w:marLeft w:val="0"/>
      <w:marRight w:val="0"/>
      <w:marTop w:val="0"/>
      <w:marBottom w:val="0"/>
      <w:divBdr>
        <w:top w:val="none" w:sz="0" w:space="0" w:color="auto"/>
        <w:left w:val="none" w:sz="0" w:space="0" w:color="auto"/>
        <w:bottom w:val="none" w:sz="0" w:space="0" w:color="auto"/>
        <w:right w:val="none" w:sz="0" w:space="0" w:color="auto"/>
      </w:divBdr>
    </w:div>
    <w:div w:id="2056199048">
      <w:bodyDiv w:val="1"/>
      <w:marLeft w:val="0"/>
      <w:marRight w:val="0"/>
      <w:marTop w:val="0"/>
      <w:marBottom w:val="0"/>
      <w:divBdr>
        <w:top w:val="none" w:sz="0" w:space="0" w:color="auto"/>
        <w:left w:val="none" w:sz="0" w:space="0" w:color="auto"/>
        <w:bottom w:val="none" w:sz="0" w:space="0" w:color="auto"/>
        <w:right w:val="none" w:sz="0" w:space="0" w:color="auto"/>
      </w:divBdr>
    </w:div>
    <w:div w:id="2057661540">
      <w:bodyDiv w:val="1"/>
      <w:marLeft w:val="0"/>
      <w:marRight w:val="0"/>
      <w:marTop w:val="0"/>
      <w:marBottom w:val="0"/>
      <w:divBdr>
        <w:top w:val="none" w:sz="0" w:space="0" w:color="auto"/>
        <w:left w:val="none" w:sz="0" w:space="0" w:color="auto"/>
        <w:bottom w:val="none" w:sz="0" w:space="0" w:color="auto"/>
        <w:right w:val="none" w:sz="0" w:space="0" w:color="auto"/>
      </w:divBdr>
    </w:div>
    <w:div w:id="2074348311">
      <w:bodyDiv w:val="1"/>
      <w:marLeft w:val="0"/>
      <w:marRight w:val="0"/>
      <w:marTop w:val="0"/>
      <w:marBottom w:val="0"/>
      <w:divBdr>
        <w:top w:val="none" w:sz="0" w:space="0" w:color="auto"/>
        <w:left w:val="none" w:sz="0" w:space="0" w:color="auto"/>
        <w:bottom w:val="none" w:sz="0" w:space="0" w:color="auto"/>
        <w:right w:val="none" w:sz="0" w:space="0" w:color="auto"/>
      </w:divBdr>
    </w:div>
    <w:div w:id="2075158052">
      <w:bodyDiv w:val="1"/>
      <w:marLeft w:val="0"/>
      <w:marRight w:val="0"/>
      <w:marTop w:val="0"/>
      <w:marBottom w:val="0"/>
      <w:divBdr>
        <w:top w:val="none" w:sz="0" w:space="0" w:color="auto"/>
        <w:left w:val="none" w:sz="0" w:space="0" w:color="auto"/>
        <w:bottom w:val="none" w:sz="0" w:space="0" w:color="auto"/>
        <w:right w:val="none" w:sz="0" w:space="0" w:color="auto"/>
      </w:divBdr>
    </w:div>
    <w:div w:id="2080862430">
      <w:bodyDiv w:val="1"/>
      <w:marLeft w:val="0"/>
      <w:marRight w:val="0"/>
      <w:marTop w:val="0"/>
      <w:marBottom w:val="0"/>
      <w:divBdr>
        <w:top w:val="none" w:sz="0" w:space="0" w:color="auto"/>
        <w:left w:val="none" w:sz="0" w:space="0" w:color="auto"/>
        <w:bottom w:val="none" w:sz="0" w:space="0" w:color="auto"/>
        <w:right w:val="none" w:sz="0" w:space="0" w:color="auto"/>
      </w:divBdr>
    </w:div>
    <w:div w:id="2081899764">
      <w:bodyDiv w:val="1"/>
      <w:marLeft w:val="0"/>
      <w:marRight w:val="0"/>
      <w:marTop w:val="0"/>
      <w:marBottom w:val="0"/>
      <w:divBdr>
        <w:top w:val="none" w:sz="0" w:space="0" w:color="auto"/>
        <w:left w:val="none" w:sz="0" w:space="0" w:color="auto"/>
        <w:bottom w:val="none" w:sz="0" w:space="0" w:color="auto"/>
        <w:right w:val="none" w:sz="0" w:space="0" w:color="auto"/>
      </w:divBdr>
    </w:div>
    <w:div w:id="2091535773">
      <w:bodyDiv w:val="1"/>
      <w:marLeft w:val="0"/>
      <w:marRight w:val="0"/>
      <w:marTop w:val="0"/>
      <w:marBottom w:val="0"/>
      <w:divBdr>
        <w:top w:val="none" w:sz="0" w:space="0" w:color="auto"/>
        <w:left w:val="none" w:sz="0" w:space="0" w:color="auto"/>
        <w:bottom w:val="none" w:sz="0" w:space="0" w:color="auto"/>
        <w:right w:val="none" w:sz="0" w:space="0" w:color="auto"/>
      </w:divBdr>
    </w:div>
    <w:div w:id="2092001653">
      <w:bodyDiv w:val="1"/>
      <w:marLeft w:val="0"/>
      <w:marRight w:val="0"/>
      <w:marTop w:val="0"/>
      <w:marBottom w:val="0"/>
      <w:divBdr>
        <w:top w:val="none" w:sz="0" w:space="0" w:color="auto"/>
        <w:left w:val="none" w:sz="0" w:space="0" w:color="auto"/>
        <w:bottom w:val="none" w:sz="0" w:space="0" w:color="auto"/>
        <w:right w:val="none" w:sz="0" w:space="0" w:color="auto"/>
      </w:divBdr>
    </w:div>
    <w:div w:id="2095661458">
      <w:bodyDiv w:val="1"/>
      <w:marLeft w:val="0"/>
      <w:marRight w:val="0"/>
      <w:marTop w:val="0"/>
      <w:marBottom w:val="0"/>
      <w:divBdr>
        <w:top w:val="none" w:sz="0" w:space="0" w:color="auto"/>
        <w:left w:val="none" w:sz="0" w:space="0" w:color="auto"/>
        <w:bottom w:val="none" w:sz="0" w:space="0" w:color="auto"/>
        <w:right w:val="none" w:sz="0" w:space="0" w:color="auto"/>
      </w:divBdr>
    </w:div>
    <w:div w:id="2095928794">
      <w:bodyDiv w:val="1"/>
      <w:marLeft w:val="0"/>
      <w:marRight w:val="0"/>
      <w:marTop w:val="0"/>
      <w:marBottom w:val="0"/>
      <w:divBdr>
        <w:top w:val="none" w:sz="0" w:space="0" w:color="auto"/>
        <w:left w:val="none" w:sz="0" w:space="0" w:color="auto"/>
        <w:bottom w:val="none" w:sz="0" w:space="0" w:color="auto"/>
        <w:right w:val="none" w:sz="0" w:space="0" w:color="auto"/>
      </w:divBdr>
    </w:div>
    <w:div w:id="2113695206">
      <w:bodyDiv w:val="1"/>
      <w:marLeft w:val="0"/>
      <w:marRight w:val="0"/>
      <w:marTop w:val="0"/>
      <w:marBottom w:val="0"/>
      <w:divBdr>
        <w:top w:val="none" w:sz="0" w:space="0" w:color="auto"/>
        <w:left w:val="none" w:sz="0" w:space="0" w:color="auto"/>
        <w:bottom w:val="none" w:sz="0" w:space="0" w:color="auto"/>
        <w:right w:val="none" w:sz="0" w:space="0" w:color="auto"/>
      </w:divBdr>
    </w:div>
    <w:div w:id="2121337020">
      <w:bodyDiv w:val="1"/>
      <w:marLeft w:val="0"/>
      <w:marRight w:val="0"/>
      <w:marTop w:val="0"/>
      <w:marBottom w:val="0"/>
      <w:divBdr>
        <w:top w:val="none" w:sz="0" w:space="0" w:color="auto"/>
        <w:left w:val="none" w:sz="0" w:space="0" w:color="auto"/>
        <w:bottom w:val="none" w:sz="0" w:space="0" w:color="auto"/>
        <w:right w:val="none" w:sz="0" w:space="0" w:color="auto"/>
      </w:divBdr>
    </w:div>
    <w:div w:id="2125034438">
      <w:bodyDiv w:val="1"/>
      <w:marLeft w:val="0"/>
      <w:marRight w:val="0"/>
      <w:marTop w:val="0"/>
      <w:marBottom w:val="0"/>
      <w:divBdr>
        <w:top w:val="none" w:sz="0" w:space="0" w:color="auto"/>
        <w:left w:val="none" w:sz="0" w:space="0" w:color="auto"/>
        <w:bottom w:val="none" w:sz="0" w:space="0" w:color="auto"/>
        <w:right w:val="none" w:sz="0" w:space="0" w:color="auto"/>
      </w:divBdr>
    </w:div>
    <w:div w:id="2125070875">
      <w:bodyDiv w:val="1"/>
      <w:marLeft w:val="0"/>
      <w:marRight w:val="0"/>
      <w:marTop w:val="0"/>
      <w:marBottom w:val="0"/>
      <w:divBdr>
        <w:top w:val="none" w:sz="0" w:space="0" w:color="auto"/>
        <w:left w:val="none" w:sz="0" w:space="0" w:color="auto"/>
        <w:bottom w:val="none" w:sz="0" w:space="0" w:color="auto"/>
        <w:right w:val="none" w:sz="0" w:space="0" w:color="auto"/>
      </w:divBdr>
    </w:div>
    <w:div w:id="2133285692">
      <w:bodyDiv w:val="1"/>
      <w:marLeft w:val="0"/>
      <w:marRight w:val="0"/>
      <w:marTop w:val="0"/>
      <w:marBottom w:val="0"/>
      <w:divBdr>
        <w:top w:val="none" w:sz="0" w:space="0" w:color="auto"/>
        <w:left w:val="none" w:sz="0" w:space="0" w:color="auto"/>
        <w:bottom w:val="none" w:sz="0" w:space="0" w:color="auto"/>
        <w:right w:val="none" w:sz="0" w:space="0" w:color="auto"/>
      </w:divBdr>
    </w:div>
    <w:div w:id="213420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Sal891</b:Tag>
    <b:SourceType>JournalArticle</b:SourceType>
    <b:Guid>{CF0AE07F-5E2F-4C2C-ADFC-E0BD23613A54}</b:Guid>
    <b:Author>
      <b:Author>
        <b:NameList>
          <b:Person>
            <b:Last>Salmon</b:Last>
            <b:First>N</b:First>
          </b:Person>
        </b:NameList>
      </b:Author>
    </b:Author>
    <b:Title>Illogical Belief</b:Title>
    <b:JournalName>Philosophical Perspectives</b:JournalName>
    <b:Year>1989</b:Year>
    <b:Pages>243-285</b:Pages>
    <b:Volume>3</b:Volume>
    <b:RefOrder>15</b:RefOrder>
  </b:Source>
  <b:Source>
    <b:Tag>Fre80</b:Tag>
    <b:SourceType>BookSection</b:SourceType>
    <b:Guid>{03F63CF7-3565-45B8-A930-F9C551E36A67}</b:Guid>
    <b:Author>
      <b:Author>
        <b:NameList>
          <b:Person>
            <b:Last>Frege</b:Last>
            <b:First>Gottlob</b:First>
          </b:Person>
        </b:NameList>
      </b:Author>
      <b:BookAuthor>
        <b:NameList>
          <b:Person>
            <b:Last>Geach</b:Last>
            <b:First>P</b:First>
          </b:Person>
          <b:Person>
            <b:Last>Black (eds. and trans.)</b:Last>
            <b:First>M</b:First>
          </b:Person>
        </b:NameList>
      </b:BookAuthor>
    </b:Author>
    <b:Title>On Sense and Reference</b:Title>
    <b:Year>1980</b:Year>
    <b:Pages>25-50</b:Pages>
    <b:BookTitle>Translations from the Philosophical Writings of Gottlob Frege</b:BookTitle>
    <b:City>Oxford</b:City>
    <b:Publisher>Blackwell</b:Publisher>
    <b:RefOrder>1</b:RefOrder>
  </b:Source>
  <b:Source>
    <b:Tag>Dia67</b:Tag>
    <b:SourceType>JournalArticle</b:SourceType>
    <b:Guid>{38567067-5634-42DA-9D64-FB116F1E2590}</b:Guid>
    <b:Author>
      <b:Author>
        <b:NameList>
          <b:Person>
            <b:Last>Diamond</b:Last>
            <b:First>Peter</b:First>
            <b:Middle>A</b:Middle>
          </b:Person>
        </b:NameList>
      </b:Author>
    </b:Author>
    <b:Title>Cardinal Welfare, Individualistic Ethics, and Interpersonal Comparison of Utility</b:Title>
    <b:JournalName>Journal of Political Economy</b:JournalName>
    <b:Year>1967</b:Year>
    <b:Pages>756-766</b:Pages>
    <b:Volume>75</b:Volume>
    <b:Issue>5</b:Issue>
    <b:RefOrder>10</b:RefOrder>
  </b:Source>
  <b:Source>
    <b:Tag>Bro84</b:Tag>
    <b:SourceType>JournalArticle</b:SourceType>
    <b:Guid>{9226A606-4C1A-4FC6-A655-FD327957BB71}</b:Guid>
    <b:Title>Uncertainty and Fairness</b:Title>
    <b:JournalName>The Economic Journal</b:JournalName>
    <b:Year>1984</b:Year>
    <b:Pages>624-632</b:Pages>
    <b:Author>
      <b:Author>
        <b:NameList>
          <b:Person>
            <b:Last>Broome</b:Last>
            <b:First>John</b:First>
          </b:Person>
        </b:NameList>
      </b:Author>
    </b:Author>
    <b:Volume>94</b:Volume>
    <b:Issue>375</b:Issue>
    <b:RefOrder>11</b:RefOrder>
  </b:Source>
  <b:Source>
    <b:Tag>Ots09</b:Tag>
    <b:SourceType>JournalArticle</b:SourceType>
    <b:Guid>{212B996E-4589-4884-AD8C-4166BC9BCF0F}</b:Guid>
    <b:Title>Why It Matters That Some Are Worse off than Others: An Argument against the Priority</b:Title>
    <b:Year>2009</b:Year>
    <b:Author>
      <b:Author>
        <b:NameList>
          <b:Person>
            <b:Last>Otsuka</b:Last>
            <b:First>Mike</b:First>
          </b:Person>
          <b:Person>
            <b:Last>Voorhoeve</b:Last>
            <b:First>Alex</b:First>
          </b:Person>
        </b:NameList>
      </b:Author>
    </b:Author>
    <b:JournalName>Philosophy &amp; Public Affairs</b:JournalName>
    <b:Pages>171-199</b:Pages>
    <b:Volume>37</b:Volume>
    <b:Issue>2</b:Issue>
    <b:RefOrder>7</b:RefOrder>
  </b:Source>
  <b:Source>
    <b:Tag>Fle10</b:Tag>
    <b:SourceType>JournalArticle</b:SourceType>
    <b:Guid>{3B26B497-3690-4E03-8B38-808B5DFB85A1}</b:Guid>
    <b:Title>Risky Social Situations</b:Title>
    <b:JournalName>Journal of Political Economy</b:JournalName>
    <b:Year>2010</b:Year>
    <b:Pages>649-680</b:Pages>
    <b:Author>
      <b:Author>
        <b:NameList>
          <b:Person>
            <b:Last>Fleurbaey</b:Last>
            <b:First>Marc</b:First>
          </b:Person>
        </b:NameList>
      </b:Author>
    </b:Author>
    <b:Volume>118</b:Volume>
    <b:Issue>4</b:Issue>
    <b:RefOrder>16</b:RefOrder>
  </b:Source>
  <b:Source>
    <b:Tag>Ots18</b:Tag>
    <b:SourceType>BookSection</b:SourceType>
    <b:Guid>{99E3A5BB-07D3-43B3-9E73-344B1AEBDE0A}</b:Guid>
    <b:Title>Equality versus Priority</b:Title>
    <b:Year>2018</b:Year>
    <b:Pages>65-85</b:Pages>
    <b:BookTitle>Oxford Handbook of Distributive Justice</b:BookTitle>
    <b:City>Oxford</b:City>
    <b:Publisher>OUP</b:Publisher>
    <b:Author>
      <b:Author>
        <b:NameList>
          <b:Person>
            <b:Last>Otsuka</b:Last>
            <b:First>Mike</b:First>
          </b:Person>
          <b:Person>
            <b:Last>Voorhoeve</b:Last>
            <b:First>Alex</b:First>
          </b:Person>
        </b:NameList>
      </b:Author>
      <b:BookAuthor>
        <b:NameList>
          <b:Person>
            <b:Last>Olsaretti (ed.)</b:Last>
            <b:First>Serena</b:First>
          </b:Person>
        </b:NameList>
      </b:BookAuthor>
    </b:Author>
    <b:RefOrder>8</b:RefOrder>
  </b:Source>
  <b:Source>
    <b:Tag>Brang2</b:Tag>
    <b:SourceType>JournalArticle</b:SourceType>
    <b:Guid>{F8CE054B-EB1D-47C0-87C3-ACCFC0586F8D}</b:Guid>
    <b:Author>
      <b:Author>
        <b:NameList>
          <b:Person>
            <b:Last>Braun</b:Last>
            <b:First>D</b:First>
          </b:Person>
        </b:NameList>
      </b:Author>
    </b:Author>
    <b:Title>The Objects of Belief and Credence</b:Title>
    <b:JournalName>Mind</b:JournalName>
    <b:Year>2016</b:Year>
    <b:Pages>469–497</b:Pages>
    <b:Volume>125</b:Volume>
    <b:Issue>498</b:Issue>
    <b:RefOrder>17</b:RefOrder>
  </b:Source>
  <b:Source>
    <b:Tag>Eva791</b:Tag>
    <b:SourceType>JournalArticle</b:SourceType>
    <b:Guid>{29A87C0A-E7D5-4FE7-8A99-A195CF576BA4}</b:Guid>
    <b:Title>Reference and Contingency</b:Title>
    <b:Year>1979</b:Year>
    <b:Pages>161-189</b:Pages>
    <b:Author>
      <b:Author>
        <b:NameList>
          <b:Person>
            <b:Last>Evans</b:Last>
            <b:First>Gareth</b:First>
          </b:Person>
        </b:NameList>
      </b:Author>
    </b:Author>
    <b:JournalName>The Monist</b:JournalName>
    <b:Volume>62</b:Volume>
    <b:Issue>2</b:Issue>
    <b:RefOrder>18</b:RefOrder>
  </b:Source>
  <b:Source>
    <b:Tag>Kri80</b:Tag>
    <b:SourceType>Book</b:SourceType>
    <b:Guid>{71C618BC-2CE6-4117-9679-612FA9E9BD78}</b:Guid>
    <b:Title>Naming and Necessity</b:Title>
    <b:Year>1980</b:Year>
    <b:Author>
      <b:Author>
        <b:NameList>
          <b:Person>
            <b:Last>Kripke</b:Last>
            <b:First>Saul</b:First>
          </b:Person>
        </b:NameList>
      </b:Author>
    </b:Author>
    <b:City>Cambridge, MA</b:City>
    <b:Publisher>Harvard University Press</b:Publisher>
    <b:RefOrder>3</b:RefOrder>
  </b:Source>
  <b:Source>
    <b:Tag>Sea83</b:Tag>
    <b:SourceType>JournalArticle</b:SourceType>
    <b:Guid>{578DD19F-9B40-4EE7-A0BC-F01ECBC89BE4}</b:Guid>
    <b:Title>Proper Names and Intentionality</b:Title>
    <b:Year>1983</b:Year>
    <b:Author>
      <b:Author>
        <b:NameList>
          <b:Person>
            <b:Last>Searle</b:Last>
            <b:Middle>R</b:Middle>
            <b:First>John</b:First>
          </b:Person>
        </b:NameList>
      </b:Author>
    </b:Author>
    <b:JournalName>Pacific Philosophical Quarterly</b:JournalName>
    <b:Pages>205-225</b:Pages>
    <b:Volume>63</b:Volume>
    <b:Issue>3</b:Issue>
    <b:RefOrder>4</b:RefOrder>
  </b:Source>
  <b:Source>
    <b:Tag>Rus12</b:Tag>
    <b:SourceType>JournalArticle</b:SourceType>
    <b:Guid>{167110AD-AF67-4F97-A40C-3FB097063D25}</b:Guid>
    <b:Title>Knowledge by Acquaintance and Knowledge by Description</b:Title>
    <b:JournalName>Proceedings of the Aristotelian Society</b:JournalName>
    <b:Year>1912</b:Year>
    <b:Pages>108-128</b:Pages>
    <b:Author>
      <b:Author>
        <b:NameList>
          <b:Person>
            <b:Last>Russell</b:Last>
            <b:First>Bertrand</b:First>
          </b:Person>
        </b:NameList>
      </b:Author>
      <b:BookAuthor>
        <b:NameList>
          <b:Person>
            <b:Last>Russell</b:Last>
            <b:First>Bertrand</b:First>
          </b:Person>
        </b:NameList>
      </b:BookAuthor>
    </b:Author>
    <b:BookTitle>Proceedings of the Aristotelian Society 11, 108-128</b:BookTitle>
    <b:Volume>11</b:Volume>
    <b:RefOrder>19</b:RefOrder>
  </b:Source>
  <b:Source>
    <b:Tag>Adl19</b:Tag>
    <b:SourceType>JournalArticle</b:SourceType>
    <b:Guid>{8247A918-D9E9-42DA-AF86-CE0719650FB4}</b:Guid>
    <b:Author>
      <b:Author>
        <b:NameList>
          <b:Person>
            <b:Last>Adler</b:Last>
            <b:First>Matt</b:First>
          </b:Person>
          <b:Person>
            <b:Last>Holtung</b:Last>
            <b:First>Nils</b:First>
          </b:Person>
        </b:NameList>
      </b:Author>
    </b:Author>
    <b:Title>Prioritarianism: A Response to Critics</b:Title>
    <b:Year>2019</b:Year>
    <b:Pages>101-144</b:Pages>
    <b:JournalName>Politics, Philosophy &amp; Economics</b:JournalName>
    <b:Volume>18</b:Volume>
    <b:Issue>2</b:Issue>
    <b:RefOrder>9</b:RefOrder>
  </b:Source>
  <b:Source>
    <b:Tag>Adl17</b:Tag>
    <b:SourceType>Book</b:SourceType>
    <b:Guid>{7EC490C2-0425-48E4-B6B7-113E46F20D80}</b:Guid>
    <b:Author>
      <b:Author>
        <b:NameList>
          <b:Person>
            <b:Last>Adler</b:Last>
            <b:First>Matt</b:First>
          </b:Person>
        </b:NameList>
      </b:Author>
    </b:Author>
    <b:Title>Measuring Social Welfare: An Introduction</b:Title>
    <b:Year>2017</b:Year>
    <b:Publisher>Manuscript</b:Publisher>
    <b:RefOrder>6</b:RefOrder>
  </b:Source>
  <b:Source>
    <b:Tag>Eva821</b:Tag>
    <b:SourceType>Book</b:SourceType>
    <b:Guid>{8DB33657-73DE-4F8D-9F15-9BD3B390D9C9}</b:Guid>
    <b:Author>
      <b:Author>
        <b:NameList>
          <b:Person>
            <b:Last>Evans</b:Last>
            <b:First>Gareth</b:First>
          </b:Person>
        </b:NameList>
      </b:Author>
    </b:Author>
    <b:Title>The Varieties of Reference</b:Title>
    <b:Year>1982</b:Year>
    <b:Publisher>OUP</b:Publisher>
    <b:RefOrder>2</b:RefOrder>
  </b:Source>
  <b:Source>
    <b:Tag>Fle16</b:Tag>
    <b:SourceType>JournalArticle</b:SourceType>
    <b:Guid>{AA731EE2-A0B2-47C3-93DE-DAFDB91F4875}</b:Guid>
    <b:Author>
      <b:Author>
        <b:NameList>
          <b:Person>
            <b:Last>Voorhoeve</b:Last>
            <b:First>Alex</b:First>
          </b:Person>
          <b:Person>
            <b:Last>Fleurbaey</b:Last>
            <b:First>Marc</b:First>
          </b:Person>
        </b:NameList>
      </b:Author>
    </b:Author>
    <b:Title>Priority or Equality for Possible People?</b:Title>
    <b:JournalName>Ethics</b:JournalName>
    <b:Year>2016</b:Year>
    <b:Pages>929–954</b:Pages>
    <b:Volume>126 </b:Volume>
    <b:RefOrder>12</b:RefOrder>
  </b:Source>
  <b:Source>
    <b:Tag>Yal15</b:Tag>
    <b:SourceType>JournalArticle</b:SourceType>
    <b:Guid>{A9785A81-501B-43F8-96BD-4BF287BE2193}</b:Guid>
    <b:Title>Epistemic Modality De Re</b:Title>
    <b:Year>2015</b:Year>
    <b:Pages>475-527</b:Pages>
    <b:JournalName>Ergo</b:JournalName>
    <b:Author>
      <b:Author>
        <b:NameList>
          <b:Person>
            <b:Last>Yalcin</b:Last>
            <b:First>Seth</b:First>
          </b:Person>
        </b:NameList>
      </b:Author>
    </b:Author>
    <b:Volume>2</b:Volume>
    <b:RefOrder>20</b:RefOrder>
  </b:Source>
  <b:Source>
    <b:Tag>Nin18</b:Tag>
    <b:SourceType>JournalArticle</b:SourceType>
    <b:Guid>{4DE53F51-F760-434C-8A1F-1F5F4292FB82}</b:Guid>
    <b:Author>
      <b:Author>
        <b:NameList>
          <b:Person>
            <b:Last>Ninan</b:Last>
            <b:First>Dilip</b:First>
          </b:Person>
        </b:NameList>
      </b:Author>
    </b:Author>
    <b:Title>Quantification and Epistemic Modality </b:Title>
    <b:JournalName>The Philosophical Review</b:JournalName>
    <b:Year>2018</b:Year>
    <b:Pages>433–485</b:Pages>
    <b:Volume>127</b:Volume>
    <b:Issue>4</b:Issue>
    <b:RefOrder>21</b:RefOrder>
  </b:Source>
  <b:Source>
    <b:Tag>Fri15</b:Tag>
    <b:SourceType>JournalArticle</b:SourceType>
    <b:Guid>{7E0A5040-35DA-4002-831B-3CEB18DAA1AE}</b:Guid>
    <b:Title>Contractualism and Social Risk</b:Title>
    <b:JournalName>Philosophy &amp; Public Affairs</b:JournalName>
    <b:Year>2015</b:Year>
    <b:Pages>175-223</b:Pages>
    <b:Author>
      <b:Author>
        <b:NameList>
          <b:Person>
            <b:Last>Frick</b:Last>
            <b:First>Johann</b:First>
          </b:Person>
        </b:NameList>
      </b:Author>
    </b:Author>
    <b:Volume>43</b:Volume>
    <b:Issue>3</b:Issue>
    <b:RefOrder>13</b:RefOrder>
  </b:Source>
  <b:Source>
    <b:Tag>Hor17</b:Tag>
    <b:SourceType>JournalArticle</b:SourceType>
    <b:Guid>{CF73E7D3-E7D1-4B07-BE4B-C35A3B86819B}</b:Guid>
    <b:Title>Aggregation, Complaints, and Risk</b:Title>
    <b:JournalName>Philosophy &amp; Public Affairs</b:JournalName>
    <b:Year>2017</b:Year>
    <b:Pages>54–81</b:Pages>
    <b:Author>
      <b:Author>
        <b:NameList>
          <b:Person>
            <b:Last>Horton</b:Last>
            <b:First>Joe</b:First>
          </b:Person>
        </b:NameList>
      </b:Author>
    </b:Author>
    <b:Volume>45</b:Volume>
    <b:RefOrder>14</b:RefOrder>
  </b:Source>
  <b:Source>
    <b:Tag>Har77</b:Tag>
    <b:SourceType>Book</b:SourceType>
    <b:Guid>{95247CE6-BCAE-4FFA-B04C-5929E8913117}</b:Guid>
    <b:Title>Rational Behaviour and Bargaining Equilibrium in Games and Social Situations</b:Title>
    <b:Year>1977</b:Year>
    <b:City>Cambridge</b:City>
    <b:Publisher>CUP</b:Publisher>
    <b:Author>
      <b:Author>
        <b:NameList>
          <b:Person>
            <b:Last>Harsanyi</b:Last>
            <b:First>John</b:First>
          </b:Person>
        </b:NameList>
      </b:Author>
    </b:Author>
    <b:RefOrder>5</b:RefOrder>
  </b:Source>
  <b:Source>
    <b:Tag>McC15</b:Tag>
    <b:SourceType>JournalArticle</b:SourceType>
    <b:Guid>{48621820-00BE-48B4-A984-682FDC224123}</b:Guid>
    <b:Title>Distributive Equality</b:Title>
    <b:JournalName>Mind</b:JournalName>
    <b:Year>2015</b:Year>
    <b:Pages>1045-1109</b:Pages>
    <b:Author>
      <b:Author>
        <b:NameList>
          <b:Person>
            <b:Last>McCarthy</b:Last>
            <b:First>David</b:First>
          </b:Person>
        </b:NameList>
      </b:Author>
    </b:Author>
    <b:Volume>124</b:Volume>
    <b:Issue>496</b:Issue>
    <b:RefOrder>22</b:RefOrder>
  </b:Source>
</b:Sources>
</file>

<file path=customXml/itemProps1.xml><?xml version="1.0" encoding="utf-8"?>
<ds:datastoreItem xmlns:ds="http://schemas.openxmlformats.org/officeDocument/2006/customXml" ds:itemID="{E42697DB-EBAF-43B5-AE5C-E292B5CD6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39</Pages>
  <Words>9823</Words>
  <Characters>55997</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Mahtani</dc:creator>
  <cp:keywords/>
  <dc:description/>
  <cp:lastModifiedBy>Anna Mahtani</cp:lastModifiedBy>
  <cp:revision>3</cp:revision>
  <cp:lastPrinted>2020-05-22T13:45:00Z</cp:lastPrinted>
  <dcterms:created xsi:type="dcterms:W3CDTF">2020-07-31T09:31:00Z</dcterms:created>
  <dcterms:modified xsi:type="dcterms:W3CDTF">2020-07-31T10:39:00Z</dcterms:modified>
</cp:coreProperties>
</file>